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31DC9" w14:textId="412E82C6" w:rsidR="002314D7" w:rsidRPr="00710615" w:rsidRDefault="00BF3B81" w:rsidP="002314D7">
      <w:pPr>
        <w:rPr>
          <w:rFonts w:ascii="Verdana" w:hAnsi="Verdana"/>
          <w:color w:val="000000" w:themeColor="text1"/>
          <w:sz w:val="22"/>
          <w:szCs w:val="22"/>
        </w:rPr>
      </w:pPr>
      <w:r>
        <w:rPr>
          <w:rFonts w:ascii="Verdana" w:hAnsi="Verdana"/>
          <w:color w:val="000000" w:themeColor="text1"/>
          <w:sz w:val="22"/>
          <w:szCs w:val="22"/>
        </w:rPr>
        <w:t>January</w:t>
      </w:r>
      <w:r w:rsidR="004C3521">
        <w:rPr>
          <w:rFonts w:ascii="Verdana" w:hAnsi="Verdana"/>
          <w:color w:val="000000" w:themeColor="text1"/>
          <w:sz w:val="22"/>
          <w:szCs w:val="22"/>
        </w:rPr>
        <w:t xml:space="preserve"> 31</w:t>
      </w:r>
      <w:r w:rsidR="002314D7">
        <w:rPr>
          <w:rFonts w:ascii="Verdana" w:hAnsi="Verdana"/>
          <w:color w:val="000000" w:themeColor="text1"/>
          <w:sz w:val="22"/>
          <w:szCs w:val="22"/>
        </w:rPr>
        <w:t>,</w:t>
      </w:r>
      <w:r>
        <w:rPr>
          <w:rFonts w:ascii="Verdana" w:hAnsi="Verdana"/>
          <w:color w:val="000000" w:themeColor="text1"/>
          <w:sz w:val="22"/>
          <w:szCs w:val="22"/>
        </w:rPr>
        <w:t xml:space="preserve"> 2020</w:t>
      </w:r>
    </w:p>
    <w:p w14:paraId="6C0A78CA" w14:textId="77777777" w:rsidR="002314D7" w:rsidRDefault="002314D7" w:rsidP="002314D7">
      <w:pPr>
        <w:rPr>
          <w:rFonts w:ascii="Verdana" w:hAnsi="Verdana"/>
          <w:color w:val="000000" w:themeColor="text1"/>
          <w:sz w:val="22"/>
          <w:szCs w:val="22"/>
        </w:rPr>
      </w:pPr>
    </w:p>
    <w:p w14:paraId="68C8D63D" w14:textId="77777777" w:rsidR="002314D7" w:rsidRPr="00710615" w:rsidRDefault="002314D7" w:rsidP="002314D7">
      <w:pPr>
        <w:rPr>
          <w:rFonts w:ascii="Verdana" w:hAnsi="Verdana"/>
          <w:color w:val="000000" w:themeColor="text1"/>
          <w:sz w:val="22"/>
          <w:szCs w:val="22"/>
        </w:rPr>
      </w:pPr>
    </w:p>
    <w:p w14:paraId="7BCFE1E9" w14:textId="77777777" w:rsidR="002314D7" w:rsidRPr="00BF3B81" w:rsidRDefault="002314D7" w:rsidP="002314D7">
      <w:pPr>
        <w:rPr>
          <w:rFonts w:ascii="Verdana" w:hAnsi="Verdana"/>
          <w:color w:val="000000" w:themeColor="text1"/>
          <w:sz w:val="22"/>
          <w:szCs w:val="22"/>
        </w:rPr>
      </w:pPr>
    </w:p>
    <w:p w14:paraId="594A1FEA" w14:textId="77777777" w:rsidR="00BF3B81" w:rsidRPr="00BF3B81" w:rsidRDefault="00BF3B81" w:rsidP="00BF3B81">
      <w:pPr>
        <w:rPr>
          <w:rFonts w:ascii="Verdana" w:hAnsi="Verdana"/>
          <w:sz w:val="22"/>
          <w:szCs w:val="22"/>
        </w:rPr>
      </w:pPr>
      <w:r w:rsidRPr="00BF3B81">
        <w:rPr>
          <w:rFonts w:ascii="Verdana" w:hAnsi="Verdana"/>
          <w:sz w:val="22"/>
          <w:szCs w:val="22"/>
        </w:rPr>
        <w:t xml:space="preserve">Ms. Ana Trevino </w:t>
      </w:r>
    </w:p>
    <w:p w14:paraId="0C4FDC0D" w14:textId="77777777" w:rsidR="00BF3B81" w:rsidRPr="00BF3B81" w:rsidRDefault="00BF3B81" w:rsidP="00BF3B81">
      <w:pPr>
        <w:rPr>
          <w:rFonts w:ascii="Verdana" w:hAnsi="Verdana"/>
          <w:sz w:val="22"/>
          <w:szCs w:val="22"/>
        </w:rPr>
      </w:pPr>
      <w:r w:rsidRPr="00BF3B81">
        <w:rPr>
          <w:rFonts w:ascii="Verdana" w:hAnsi="Verdana"/>
          <w:sz w:val="22"/>
          <w:szCs w:val="22"/>
        </w:rPr>
        <w:t xml:space="preserve">Public Utility Commission of Texas </w:t>
      </w:r>
    </w:p>
    <w:p w14:paraId="6283452B" w14:textId="77777777" w:rsidR="00BF3B81" w:rsidRPr="00BF3B81" w:rsidRDefault="00BF3B81" w:rsidP="00BF3B81">
      <w:pPr>
        <w:rPr>
          <w:rFonts w:ascii="Verdana" w:hAnsi="Verdana"/>
          <w:sz w:val="22"/>
          <w:szCs w:val="22"/>
        </w:rPr>
      </w:pPr>
      <w:r w:rsidRPr="00BF3B81">
        <w:rPr>
          <w:rFonts w:ascii="Verdana" w:hAnsi="Verdana"/>
          <w:sz w:val="22"/>
          <w:szCs w:val="22"/>
        </w:rPr>
        <w:t xml:space="preserve">1701 N. Congress Avenue, Room 8-100 </w:t>
      </w:r>
    </w:p>
    <w:p w14:paraId="0F5E48D9" w14:textId="77777777" w:rsidR="00BF3B81" w:rsidRPr="00BF3B81" w:rsidRDefault="00BF3B81" w:rsidP="00BF3B81">
      <w:pPr>
        <w:rPr>
          <w:rFonts w:ascii="Verdana" w:hAnsi="Verdana"/>
          <w:sz w:val="22"/>
          <w:szCs w:val="22"/>
        </w:rPr>
      </w:pPr>
      <w:r w:rsidRPr="00BF3B81">
        <w:rPr>
          <w:rFonts w:ascii="Verdana" w:hAnsi="Verdana"/>
          <w:sz w:val="22"/>
          <w:szCs w:val="22"/>
        </w:rPr>
        <w:t xml:space="preserve">P.O. Box 13326 </w:t>
      </w:r>
    </w:p>
    <w:p w14:paraId="06F5874D" w14:textId="61017123" w:rsidR="00BF3B81" w:rsidRPr="00BF3B81" w:rsidRDefault="00BF3B81" w:rsidP="00BF3B81">
      <w:pPr>
        <w:rPr>
          <w:rFonts w:ascii="Verdana" w:hAnsi="Verdana"/>
          <w:sz w:val="22"/>
          <w:szCs w:val="22"/>
        </w:rPr>
      </w:pPr>
      <w:r w:rsidRPr="00BF3B81">
        <w:rPr>
          <w:rFonts w:ascii="Verdana" w:hAnsi="Verdana"/>
          <w:sz w:val="22"/>
          <w:szCs w:val="22"/>
        </w:rPr>
        <w:t xml:space="preserve">Austin, TX 78711-3326 </w:t>
      </w:r>
    </w:p>
    <w:p w14:paraId="022C829C" w14:textId="77777777" w:rsidR="002314D7" w:rsidRPr="00BF3B81" w:rsidRDefault="002314D7" w:rsidP="002314D7">
      <w:pPr>
        <w:rPr>
          <w:rFonts w:ascii="Verdana" w:hAnsi="Verdana"/>
          <w:color w:val="000000" w:themeColor="text1"/>
          <w:sz w:val="22"/>
          <w:szCs w:val="22"/>
        </w:rPr>
      </w:pPr>
    </w:p>
    <w:p w14:paraId="487B9BDD" w14:textId="75AF3DF8" w:rsidR="00BF3B81" w:rsidRPr="00BF3B81" w:rsidRDefault="00BF3B81" w:rsidP="00BF3B81">
      <w:pPr>
        <w:rPr>
          <w:rFonts w:ascii="Verdana" w:hAnsi="Verdana"/>
          <w:i/>
          <w:iCs/>
          <w:sz w:val="22"/>
          <w:szCs w:val="22"/>
        </w:rPr>
      </w:pPr>
      <w:r w:rsidRPr="00BF3B81">
        <w:rPr>
          <w:rFonts w:ascii="Verdana" w:hAnsi="Verdana"/>
          <w:i/>
          <w:iCs/>
          <w:sz w:val="22"/>
          <w:szCs w:val="22"/>
        </w:rPr>
        <w:t>RE: Project No. 49125, Review of Issues Related to Electric Vehicles</w:t>
      </w:r>
    </w:p>
    <w:p w14:paraId="5E547908" w14:textId="77777777" w:rsidR="002314D7" w:rsidRPr="00710615" w:rsidRDefault="002314D7" w:rsidP="002314D7">
      <w:pPr>
        <w:rPr>
          <w:rFonts w:ascii="Verdana" w:hAnsi="Verdana"/>
          <w:color w:val="000000" w:themeColor="text1"/>
          <w:sz w:val="22"/>
          <w:szCs w:val="22"/>
        </w:rPr>
      </w:pPr>
    </w:p>
    <w:p w14:paraId="69B42062" w14:textId="1F911839" w:rsidR="002314D7" w:rsidRPr="0082451C" w:rsidRDefault="002314D7" w:rsidP="002314D7">
      <w:pPr>
        <w:rPr>
          <w:rFonts w:ascii="Verdana" w:hAnsi="Verdana"/>
          <w:color w:val="000000" w:themeColor="text1"/>
          <w:sz w:val="22"/>
          <w:szCs w:val="22"/>
        </w:rPr>
      </w:pPr>
      <w:r w:rsidRPr="0082451C">
        <w:rPr>
          <w:rFonts w:ascii="Verdana" w:hAnsi="Verdana"/>
          <w:color w:val="000000" w:themeColor="text1"/>
          <w:sz w:val="22"/>
          <w:szCs w:val="22"/>
        </w:rPr>
        <w:t>Dear M</w:t>
      </w:r>
      <w:r w:rsidR="00BF3B81">
        <w:rPr>
          <w:rFonts w:ascii="Verdana" w:hAnsi="Verdana"/>
          <w:color w:val="000000" w:themeColor="text1"/>
          <w:sz w:val="22"/>
          <w:szCs w:val="22"/>
        </w:rPr>
        <w:t>s. Trevino</w:t>
      </w:r>
      <w:r w:rsidRPr="0082451C">
        <w:rPr>
          <w:rFonts w:ascii="Verdana" w:hAnsi="Verdana"/>
          <w:color w:val="000000" w:themeColor="text1"/>
          <w:sz w:val="22"/>
          <w:szCs w:val="22"/>
        </w:rPr>
        <w:t>:</w:t>
      </w:r>
    </w:p>
    <w:p w14:paraId="3E4B3FB2" w14:textId="77777777" w:rsidR="002314D7" w:rsidRPr="0082451C" w:rsidRDefault="002314D7" w:rsidP="002314D7">
      <w:pPr>
        <w:rPr>
          <w:rFonts w:ascii="Verdana" w:hAnsi="Verdana"/>
          <w:color w:val="000000" w:themeColor="text1"/>
          <w:sz w:val="22"/>
          <w:szCs w:val="22"/>
        </w:rPr>
      </w:pPr>
    </w:p>
    <w:p w14:paraId="67D75F50" w14:textId="32CE35AD" w:rsidR="002314D7" w:rsidRPr="00951635" w:rsidRDefault="002314D7" w:rsidP="002314D7">
      <w:pPr>
        <w:rPr>
          <w:rFonts w:ascii="Verdana" w:hAnsi="Verdana" w:cs="Arial"/>
          <w:sz w:val="22"/>
          <w:szCs w:val="22"/>
        </w:rPr>
      </w:pPr>
      <w:r w:rsidRPr="0082451C">
        <w:rPr>
          <w:rFonts w:ascii="Verdana" w:hAnsi="Verdana"/>
          <w:color w:val="000000" w:themeColor="text1"/>
          <w:sz w:val="22"/>
          <w:szCs w:val="22"/>
        </w:rPr>
        <w:t xml:space="preserve">I write on behalf of TechNet </w:t>
      </w:r>
      <w:r w:rsidRPr="0082451C">
        <w:rPr>
          <w:rFonts w:ascii="Verdana" w:hAnsi="Verdana" w:cs="Arial"/>
          <w:sz w:val="22"/>
          <w:szCs w:val="22"/>
        </w:rPr>
        <w:t xml:space="preserve">to provide comments on </w:t>
      </w:r>
      <w:r w:rsidR="00BF3B81">
        <w:rPr>
          <w:rFonts w:ascii="Verdana" w:hAnsi="Verdana" w:cs="Arial"/>
          <w:sz w:val="22"/>
          <w:szCs w:val="22"/>
        </w:rPr>
        <w:t>Project No. 49125</w:t>
      </w:r>
      <w:r w:rsidR="00951635">
        <w:rPr>
          <w:rFonts w:ascii="Verdana" w:hAnsi="Verdana" w:cs="Arial"/>
          <w:sz w:val="22"/>
          <w:szCs w:val="22"/>
        </w:rPr>
        <w:t xml:space="preserve">, a review of issues related to electric vehicles. </w:t>
      </w:r>
    </w:p>
    <w:p w14:paraId="4C705D1F" w14:textId="77777777" w:rsidR="002314D7" w:rsidRPr="0082451C" w:rsidRDefault="002314D7" w:rsidP="002314D7">
      <w:pPr>
        <w:rPr>
          <w:rFonts w:ascii="Verdana" w:hAnsi="Verdana" w:cs="Arial"/>
          <w:sz w:val="22"/>
          <w:szCs w:val="22"/>
        </w:rPr>
      </w:pPr>
    </w:p>
    <w:p w14:paraId="0DB15F08" w14:textId="77777777" w:rsidR="002314D7" w:rsidRPr="00273922" w:rsidRDefault="002314D7" w:rsidP="002314D7">
      <w:pPr>
        <w:rPr>
          <w:rFonts w:ascii="Verdana" w:hAnsi="Verdana"/>
          <w:iCs/>
          <w:color w:val="000000" w:themeColor="text1"/>
          <w:sz w:val="22"/>
          <w:szCs w:val="22"/>
          <w:shd w:val="clear" w:color="auto" w:fill="FFFFFF"/>
        </w:rPr>
      </w:pPr>
      <w:r w:rsidRPr="00273922">
        <w:rPr>
          <w:rFonts w:ascii="Verdana" w:hAnsi="Verdana"/>
          <w:color w:val="000000" w:themeColor="text1"/>
          <w:sz w:val="22"/>
          <w:szCs w:val="22"/>
        </w:rPr>
        <w:t xml:space="preserve">TechNet is </w:t>
      </w:r>
      <w:r w:rsidRPr="00273922">
        <w:rPr>
          <w:rFonts w:ascii="Verdana" w:hAnsi="Verdana"/>
          <w:iCs/>
          <w:color w:val="000000" w:themeColor="text1"/>
          <w:sz w:val="22"/>
          <w:szCs w:val="22"/>
          <w:shd w:val="clear" w:color="auto" w:fill="FFFFFF"/>
        </w:rPr>
        <w:t>the national, bipartisan network of technology CEOs and senior executives that promotes the growth of the innovation economy by advocating a targeted policy agenda at the federal and 50-state level. TechNet’s diverse membership includes dynamic American businesses ranging from startups to the most iconic companies on the planet and represents more than three million employees and countless customers in the fields of information technology, e-commerce, the sharing and gig economies, advanced energy, cybersecurity, venture capital, and finance.</w:t>
      </w:r>
    </w:p>
    <w:p w14:paraId="153BE874" w14:textId="1180B9FD" w:rsidR="00951635" w:rsidRPr="00273922" w:rsidRDefault="00951635" w:rsidP="002314D7">
      <w:pPr>
        <w:rPr>
          <w:rFonts w:ascii="Verdana" w:hAnsi="Verdana" w:cs="Arial"/>
          <w:sz w:val="22"/>
          <w:szCs w:val="22"/>
        </w:rPr>
      </w:pPr>
    </w:p>
    <w:p w14:paraId="339CFE99" w14:textId="0E12B134" w:rsidR="00273922" w:rsidRPr="00273922" w:rsidRDefault="00273922" w:rsidP="00273922">
      <w:pPr>
        <w:rPr>
          <w:rFonts w:ascii="Verdana" w:hAnsi="Verdana"/>
          <w:sz w:val="22"/>
          <w:szCs w:val="22"/>
        </w:rPr>
      </w:pPr>
      <w:r w:rsidRPr="00273922">
        <w:rPr>
          <w:rFonts w:ascii="Verdana" w:hAnsi="Verdana"/>
          <w:sz w:val="22"/>
          <w:szCs w:val="22"/>
        </w:rPr>
        <w:t xml:space="preserve">Our member companies include current and potential adopters of electric vehicles as well as companies offering electric vehicle charging solutions. As electric vehicle adoption increases not only in Texas, but across the globe, our companies are investing in the infrastructure necessary to charge electric vehicles and do so in ways that support efficient grid operations and provide operational savings through reduced fuel cost. We appreciate the Commission’s inquiry into electric vehicles and offer the following comments for the Commission’s consideration. </w:t>
      </w:r>
    </w:p>
    <w:p w14:paraId="28E0119E" w14:textId="77777777" w:rsidR="00273922" w:rsidRPr="00273922" w:rsidRDefault="00273922" w:rsidP="00273922">
      <w:pPr>
        <w:rPr>
          <w:rFonts w:ascii="Verdana" w:hAnsi="Verdana"/>
          <w:sz w:val="22"/>
          <w:szCs w:val="22"/>
        </w:rPr>
      </w:pPr>
    </w:p>
    <w:p w14:paraId="3710B2AA" w14:textId="77777777" w:rsidR="00273922" w:rsidRPr="00273922" w:rsidRDefault="00273922" w:rsidP="00273922">
      <w:pPr>
        <w:rPr>
          <w:rFonts w:ascii="Verdana" w:hAnsi="Verdana"/>
          <w:b/>
          <w:bCs/>
          <w:sz w:val="22"/>
          <w:szCs w:val="22"/>
          <w:u w:val="single"/>
        </w:rPr>
      </w:pPr>
      <w:r w:rsidRPr="00273922">
        <w:rPr>
          <w:rFonts w:ascii="Verdana" w:hAnsi="Verdana"/>
          <w:b/>
          <w:bCs/>
          <w:sz w:val="22"/>
          <w:szCs w:val="22"/>
          <w:u w:val="single"/>
        </w:rPr>
        <w:t>General Data</w:t>
      </w:r>
    </w:p>
    <w:p w14:paraId="16A2FC8D" w14:textId="05E38540" w:rsidR="00273922" w:rsidRPr="00273922" w:rsidRDefault="00273922" w:rsidP="00273922">
      <w:pPr>
        <w:rPr>
          <w:rFonts w:ascii="Verdana" w:hAnsi="Verdana"/>
          <w:sz w:val="22"/>
          <w:szCs w:val="22"/>
        </w:rPr>
      </w:pPr>
      <w:r w:rsidRPr="00273922">
        <w:rPr>
          <w:rFonts w:ascii="Verdana" w:hAnsi="Verdana"/>
          <w:sz w:val="22"/>
          <w:szCs w:val="22"/>
        </w:rPr>
        <w:t>The Commission request</w:t>
      </w:r>
      <w:r>
        <w:rPr>
          <w:rFonts w:ascii="Verdana" w:hAnsi="Verdana"/>
          <w:sz w:val="22"/>
          <w:szCs w:val="22"/>
        </w:rPr>
        <w:t>s</w:t>
      </w:r>
      <w:r w:rsidRPr="00273922">
        <w:rPr>
          <w:rFonts w:ascii="Verdana" w:hAnsi="Verdana"/>
          <w:sz w:val="22"/>
          <w:szCs w:val="22"/>
        </w:rPr>
        <w:t xml:space="preserve"> current and forward-looking information related to the adoption of electric vehicles, new electric load attributable to electric vehicles, potential “hot spots” for new load, load profiles of electric vehicles, and emerging technologies for electric vehicles. In response to these questions</w:t>
      </w:r>
      <w:r>
        <w:rPr>
          <w:rFonts w:ascii="Verdana" w:hAnsi="Verdana"/>
          <w:sz w:val="22"/>
          <w:szCs w:val="22"/>
        </w:rPr>
        <w:t xml:space="preserve">, </w:t>
      </w:r>
      <w:r w:rsidRPr="00273922">
        <w:rPr>
          <w:rFonts w:ascii="Verdana" w:hAnsi="Verdana"/>
          <w:sz w:val="22"/>
          <w:szCs w:val="22"/>
        </w:rPr>
        <w:t>TechNet offers the following:</w:t>
      </w:r>
    </w:p>
    <w:p w14:paraId="05BF6A11" w14:textId="77777777" w:rsidR="00273922" w:rsidRPr="00273922" w:rsidRDefault="00273922" w:rsidP="00273922">
      <w:pPr>
        <w:rPr>
          <w:rFonts w:ascii="Verdana" w:hAnsi="Verdana"/>
          <w:sz w:val="22"/>
          <w:szCs w:val="22"/>
        </w:rPr>
      </w:pPr>
    </w:p>
    <w:p w14:paraId="1B54D489" w14:textId="2921F5A8" w:rsidR="00273922" w:rsidRPr="00273922" w:rsidRDefault="00273922" w:rsidP="00273922">
      <w:pPr>
        <w:rPr>
          <w:rFonts w:ascii="Verdana" w:hAnsi="Verdana"/>
          <w:sz w:val="22"/>
          <w:szCs w:val="22"/>
        </w:rPr>
      </w:pPr>
      <w:r w:rsidRPr="00273922">
        <w:rPr>
          <w:rFonts w:ascii="Verdana" w:hAnsi="Verdana"/>
          <w:sz w:val="22"/>
          <w:szCs w:val="22"/>
          <w:u w:val="single"/>
        </w:rPr>
        <w:t>Planning horizon</w:t>
      </w:r>
      <w:r w:rsidRPr="00273922">
        <w:rPr>
          <w:rFonts w:ascii="Verdana" w:hAnsi="Verdana"/>
          <w:sz w:val="22"/>
          <w:szCs w:val="22"/>
        </w:rPr>
        <w:t xml:space="preserve">: The Commission’s questions generally request information related to adoption, impacts, and technologies available in a timeframe of “in the next ten </w:t>
      </w:r>
      <w:r w:rsidRPr="00273922">
        <w:rPr>
          <w:rFonts w:ascii="Verdana" w:hAnsi="Verdana"/>
          <w:sz w:val="22"/>
          <w:szCs w:val="22"/>
        </w:rPr>
        <w:lastRenderedPageBreak/>
        <w:t>years</w:t>
      </w:r>
      <w:r>
        <w:rPr>
          <w:rFonts w:ascii="Verdana" w:hAnsi="Verdana"/>
          <w:sz w:val="22"/>
          <w:szCs w:val="22"/>
        </w:rPr>
        <w:t>.</w:t>
      </w:r>
      <w:r w:rsidRPr="00273922">
        <w:rPr>
          <w:rFonts w:ascii="Verdana" w:hAnsi="Verdana"/>
          <w:sz w:val="22"/>
          <w:szCs w:val="22"/>
        </w:rPr>
        <w:t>” TechNet encourages the Commission to focus the majority of its inquiry on these issues on a shorter temporal scale</w:t>
      </w:r>
      <w:r w:rsidR="0025743B">
        <w:rPr>
          <w:rFonts w:ascii="Verdana" w:hAnsi="Verdana"/>
          <w:sz w:val="22"/>
          <w:szCs w:val="22"/>
        </w:rPr>
        <w:t xml:space="preserve"> –</w:t>
      </w:r>
      <w:r w:rsidRPr="00273922">
        <w:rPr>
          <w:rFonts w:ascii="Verdana" w:hAnsi="Verdana"/>
          <w:sz w:val="22"/>
          <w:szCs w:val="22"/>
        </w:rPr>
        <w:t xml:space="preserve"> perhaps the next three years</w:t>
      </w:r>
      <w:r w:rsidR="0025743B">
        <w:rPr>
          <w:rFonts w:ascii="Verdana" w:hAnsi="Verdana"/>
          <w:sz w:val="22"/>
          <w:szCs w:val="22"/>
        </w:rPr>
        <w:t xml:space="preserve"> – while also </w:t>
      </w:r>
      <w:r w:rsidR="00DE058E">
        <w:rPr>
          <w:rFonts w:ascii="Verdana" w:hAnsi="Verdana"/>
          <w:sz w:val="22"/>
          <w:szCs w:val="22"/>
        </w:rPr>
        <w:t>examining the information available regarding</w:t>
      </w:r>
      <w:r w:rsidR="0025743B">
        <w:rPr>
          <w:rFonts w:ascii="Verdana" w:hAnsi="Verdana"/>
          <w:sz w:val="22"/>
          <w:szCs w:val="22"/>
        </w:rPr>
        <w:t xml:space="preserve"> a longer time frame</w:t>
      </w:r>
      <w:r w:rsidRPr="00273922">
        <w:rPr>
          <w:rFonts w:ascii="Verdana" w:hAnsi="Verdana"/>
          <w:sz w:val="22"/>
          <w:szCs w:val="22"/>
        </w:rPr>
        <w:t>. TechNet understand</w:t>
      </w:r>
      <w:r>
        <w:rPr>
          <w:rFonts w:ascii="Verdana" w:hAnsi="Verdana"/>
          <w:sz w:val="22"/>
          <w:szCs w:val="22"/>
        </w:rPr>
        <w:t>s</w:t>
      </w:r>
      <w:r w:rsidRPr="00273922">
        <w:rPr>
          <w:rFonts w:ascii="Verdana" w:hAnsi="Verdana"/>
          <w:sz w:val="22"/>
          <w:szCs w:val="22"/>
        </w:rPr>
        <w:t xml:space="preserve"> and support</w:t>
      </w:r>
      <w:r>
        <w:rPr>
          <w:rFonts w:ascii="Verdana" w:hAnsi="Verdana"/>
          <w:sz w:val="22"/>
          <w:szCs w:val="22"/>
        </w:rPr>
        <w:t>s</w:t>
      </w:r>
      <w:r w:rsidRPr="00273922">
        <w:rPr>
          <w:rFonts w:ascii="Verdana" w:hAnsi="Verdana"/>
          <w:sz w:val="22"/>
          <w:szCs w:val="22"/>
        </w:rPr>
        <w:t xml:space="preserve"> exploring issues in the ten-year time frame, </w:t>
      </w:r>
      <w:r w:rsidR="0025743B">
        <w:rPr>
          <w:rFonts w:ascii="Verdana" w:hAnsi="Verdana"/>
          <w:sz w:val="22"/>
          <w:szCs w:val="22"/>
        </w:rPr>
        <w:t xml:space="preserve">however </w:t>
      </w:r>
      <w:r w:rsidRPr="00273922">
        <w:rPr>
          <w:rFonts w:ascii="Verdana" w:hAnsi="Verdana"/>
          <w:sz w:val="22"/>
          <w:szCs w:val="22"/>
        </w:rPr>
        <w:t xml:space="preserve">there is much less certainty beyond three years related to vehicle adoption and charging infrastructure. </w:t>
      </w:r>
    </w:p>
    <w:p w14:paraId="206A54C0" w14:textId="77777777" w:rsidR="00273922" w:rsidRPr="00273922" w:rsidRDefault="00273922" w:rsidP="00273922">
      <w:pPr>
        <w:ind w:left="720"/>
        <w:rPr>
          <w:rFonts w:ascii="Verdana" w:hAnsi="Verdana"/>
          <w:sz w:val="22"/>
          <w:szCs w:val="22"/>
        </w:rPr>
      </w:pPr>
      <w:r w:rsidRPr="00273922">
        <w:rPr>
          <w:rFonts w:ascii="Verdana" w:hAnsi="Verdana"/>
          <w:sz w:val="22"/>
          <w:szCs w:val="22"/>
        </w:rPr>
        <w:tab/>
      </w:r>
    </w:p>
    <w:p w14:paraId="2A422072" w14:textId="481F5610" w:rsidR="00273922" w:rsidRPr="00273922" w:rsidRDefault="00273922" w:rsidP="00273922">
      <w:pPr>
        <w:rPr>
          <w:rFonts w:ascii="Verdana" w:hAnsi="Verdana"/>
          <w:sz w:val="22"/>
          <w:szCs w:val="22"/>
        </w:rPr>
      </w:pPr>
      <w:r w:rsidRPr="00273922">
        <w:rPr>
          <w:rFonts w:ascii="Verdana" w:hAnsi="Verdana"/>
          <w:sz w:val="22"/>
          <w:szCs w:val="22"/>
          <w:u w:val="single"/>
        </w:rPr>
        <w:t>Vehicle adoption</w:t>
      </w:r>
      <w:r w:rsidRPr="00273922">
        <w:rPr>
          <w:rFonts w:ascii="Verdana" w:hAnsi="Verdana"/>
          <w:sz w:val="22"/>
          <w:szCs w:val="22"/>
        </w:rPr>
        <w:t>: Currently, Texas has approximately 50,000 registered electric vehicles. These vehicles are primarily light-duty passenger vehicles for personal use. In the next five years</w:t>
      </w:r>
      <w:r>
        <w:rPr>
          <w:rFonts w:ascii="Verdana" w:hAnsi="Verdana"/>
          <w:sz w:val="22"/>
          <w:szCs w:val="22"/>
        </w:rPr>
        <w:t>,</w:t>
      </w:r>
      <w:r w:rsidRPr="00273922">
        <w:rPr>
          <w:rFonts w:ascii="Verdana" w:hAnsi="Verdana"/>
          <w:sz w:val="22"/>
          <w:szCs w:val="22"/>
        </w:rPr>
        <w:t xml:space="preserve"> TechNet expect</w:t>
      </w:r>
      <w:r>
        <w:rPr>
          <w:rFonts w:ascii="Verdana" w:hAnsi="Verdana"/>
          <w:sz w:val="22"/>
          <w:szCs w:val="22"/>
        </w:rPr>
        <w:t>s</w:t>
      </w:r>
      <w:r w:rsidRPr="00273922">
        <w:rPr>
          <w:rFonts w:ascii="Verdana" w:hAnsi="Verdana"/>
          <w:sz w:val="22"/>
          <w:szCs w:val="22"/>
        </w:rPr>
        <w:t xml:space="preserve"> sales of </w:t>
      </w:r>
      <w:r>
        <w:rPr>
          <w:rFonts w:ascii="Verdana" w:hAnsi="Verdana"/>
          <w:sz w:val="22"/>
          <w:szCs w:val="22"/>
        </w:rPr>
        <w:t xml:space="preserve">electric </w:t>
      </w:r>
      <w:r w:rsidRPr="00273922">
        <w:rPr>
          <w:rFonts w:ascii="Verdana" w:hAnsi="Verdana"/>
          <w:sz w:val="22"/>
          <w:szCs w:val="22"/>
        </w:rPr>
        <w:t xml:space="preserve">light duty passenger vehicles for personal use to increase each year as more models become available in the </w:t>
      </w:r>
      <w:r>
        <w:rPr>
          <w:rFonts w:ascii="Verdana" w:hAnsi="Verdana"/>
          <w:sz w:val="22"/>
          <w:szCs w:val="22"/>
        </w:rPr>
        <w:t>s</w:t>
      </w:r>
      <w:r w:rsidRPr="00273922">
        <w:rPr>
          <w:rFonts w:ascii="Verdana" w:hAnsi="Verdana"/>
          <w:sz w:val="22"/>
          <w:szCs w:val="22"/>
        </w:rPr>
        <w:t>tate. In the near term</w:t>
      </w:r>
      <w:r>
        <w:rPr>
          <w:rFonts w:ascii="Verdana" w:hAnsi="Verdana"/>
          <w:sz w:val="22"/>
          <w:szCs w:val="22"/>
        </w:rPr>
        <w:t>,</w:t>
      </w:r>
      <w:r w:rsidRPr="00273922">
        <w:rPr>
          <w:rFonts w:ascii="Verdana" w:hAnsi="Verdana"/>
          <w:sz w:val="22"/>
          <w:szCs w:val="22"/>
        </w:rPr>
        <w:t xml:space="preserve"> we expect the adoption rate of electric vehicles to largely be driven by model availability, anticipated fuel savings, and declining battery cost. </w:t>
      </w:r>
    </w:p>
    <w:p w14:paraId="45E36EF5" w14:textId="77777777" w:rsidR="00273922" w:rsidRPr="00273922" w:rsidRDefault="00273922" w:rsidP="00273922">
      <w:pPr>
        <w:ind w:left="720"/>
        <w:rPr>
          <w:rFonts w:ascii="Verdana" w:hAnsi="Verdana"/>
          <w:sz w:val="22"/>
          <w:szCs w:val="22"/>
        </w:rPr>
      </w:pPr>
    </w:p>
    <w:p w14:paraId="41249A06" w14:textId="7199CDB5" w:rsidR="00273922" w:rsidRPr="00273922" w:rsidRDefault="00273922" w:rsidP="00273922">
      <w:pPr>
        <w:rPr>
          <w:rFonts w:ascii="Verdana" w:hAnsi="Verdana"/>
          <w:sz w:val="22"/>
          <w:szCs w:val="22"/>
        </w:rPr>
      </w:pPr>
      <w:r w:rsidRPr="00273922">
        <w:rPr>
          <w:rFonts w:ascii="Verdana" w:hAnsi="Verdana"/>
          <w:sz w:val="22"/>
          <w:szCs w:val="22"/>
          <w:u w:val="single"/>
        </w:rPr>
        <w:t>Load profiles</w:t>
      </w:r>
      <w:r w:rsidRPr="00273922">
        <w:rPr>
          <w:rFonts w:ascii="Verdana" w:hAnsi="Verdana"/>
          <w:sz w:val="22"/>
          <w:szCs w:val="22"/>
        </w:rPr>
        <w:t>: Although several manufacturers are working to bring heavy</w:t>
      </w:r>
      <w:r>
        <w:rPr>
          <w:rFonts w:ascii="Verdana" w:hAnsi="Verdana"/>
          <w:sz w:val="22"/>
          <w:szCs w:val="22"/>
        </w:rPr>
        <w:t>-</w:t>
      </w:r>
      <w:r w:rsidRPr="00273922">
        <w:rPr>
          <w:rFonts w:ascii="Verdana" w:hAnsi="Verdana"/>
          <w:sz w:val="22"/>
          <w:szCs w:val="22"/>
        </w:rPr>
        <w:t>duty electric vehicles to market, there are relatively few on the road today. TechNet believes heavy duty electric vehicles will begin to become more prevalent in the market in the next three to five years, at which point additional observations on the load profiles and charging behavior of heavy</w:t>
      </w:r>
      <w:r>
        <w:rPr>
          <w:rFonts w:ascii="Verdana" w:hAnsi="Verdana"/>
          <w:sz w:val="22"/>
          <w:szCs w:val="22"/>
        </w:rPr>
        <w:t>-</w:t>
      </w:r>
      <w:r w:rsidRPr="00273922">
        <w:rPr>
          <w:rFonts w:ascii="Verdana" w:hAnsi="Verdana"/>
          <w:sz w:val="22"/>
          <w:szCs w:val="22"/>
        </w:rPr>
        <w:t xml:space="preserve">duty electric vehicles will be available. There are many charging options available to light duty passenger vehicles including public level </w:t>
      </w:r>
      <w:r w:rsidR="00BC4324">
        <w:rPr>
          <w:rFonts w:ascii="Verdana" w:hAnsi="Verdana"/>
          <w:sz w:val="22"/>
          <w:szCs w:val="22"/>
        </w:rPr>
        <w:t>two</w:t>
      </w:r>
      <w:r w:rsidRPr="00273922">
        <w:rPr>
          <w:rFonts w:ascii="Verdana" w:hAnsi="Verdana"/>
          <w:sz w:val="22"/>
          <w:szCs w:val="22"/>
        </w:rPr>
        <w:t xml:space="preserve"> and public direct current fast charging (DCFC). </w:t>
      </w:r>
      <w:r w:rsidR="00DE058E">
        <w:rPr>
          <w:rFonts w:ascii="Verdana" w:hAnsi="Verdana"/>
          <w:sz w:val="22"/>
          <w:szCs w:val="22"/>
        </w:rPr>
        <w:t>T</w:t>
      </w:r>
      <w:r w:rsidRPr="00273922">
        <w:rPr>
          <w:rFonts w:ascii="Verdana" w:hAnsi="Verdana"/>
          <w:sz w:val="22"/>
          <w:szCs w:val="22"/>
        </w:rPr>
        <w:t xml:space="preserve">hese public stations </w:t>
      </w:r>
      <w:r w:rsidR="00DE058E">
        <w:rPr>
          <w:rFonts w:ascii="Verdana" w:hAnsi="Verdana"/>
          <w:sz w:val="22"/>
          <w:szCs w:val="22"/>
        </w:rPr>
        <w:t>will play an essential role in increasing the adoption of electric vehicles by, for example, ensuring that electric vehicles can travel longer distances away from the vehicle’s home charging station. Home charging stations are also very important</w:t>
      </w:r>
      <w:r w:rsidRPr="00273922">
        <w:rPr>
          <w:rFonts w:ascii="Verdana" w:hAnsi="Verdana"/>
          <w:sz w:val="22"/>
          <w:szCs w:val="22"/>
        </w:rPr>
        <w:t>,</w:t>
      </w:r>
      <w:r w:rsidR="00DE058E">
        <w:rPr>
          <w:rFonts w:ascii="Verdana" w:hAnsi="Verdana"/>
          <w:sz w:val="22"/>
          <w:szCs w:val="22"/>
        </w:rPr>
        <w:t xml:space="preserve"> as</w:t>
      </w:r>
      <w:r w:rsidRPr="00273922">
        <w:rPr>
          <w:rFonts w:ascii="Verdana" w:hAnsi="Verdana"/>
          <w:sz w:val="22"/>
          <w:szCs w:val="22"/>
        </w:rPr>
        <w:t xml:space="preserve"> the Department of Energy has estimated that 80% of electric vehicle charging will take place at home.</w:t>
      </w:r>
      <w:r w:rsidRPr="00273922">
        <w:rPr>
          <w:rStyle w:val="FootnoteReference"/>
          <w:rFonts w:ascii="Verdana" w:hAnsi="Verdana"/>
          <w:sz w:val="22"/>
          <w:szCs w:val="22"/>
        </w:rPr>
        <w:footnoteReference w:id="1"/>
      </w:r>
      <w:r w:rsidRPr="00273922">
        <w:rPr>
          <w:rFonts w:ascii="Verdana" w:hAnsi="Verdana"/>
          <w:sz w:val="22"/>
          <w:szCs w:val="22"/>
        </w:rPr>
        <w:t xml:space="preserve"> When consumers charge at home and in particular when they use smart charging equipment to schedule charging during off peak hours, the entire grid can benefit. </w:t>
      </w:r>
    </w:p>
    <w:p w14:paraId="3435BD09" w14:textId="77777777" w:rsidR="00273922" w:rsidRPr="00273922" w:rsidRDefault="00273922" w:rsidP="00273922">
      <w:pPr>
        <w:rPr>
          <w:rFonts w:ascii="Verdana" w:hAnsi="Verdana"/>
          <w:sz w:val="22"/>
          <w:szCs w:val="22"/>
        </w:rPr>
      </w:pPr>
    </w:p>
    <w:p w14:paraId="0CA1C87B" w14:textId="0FB8E96F" w:rsidR="00273922" w:rsidRPr="00273922" w:rsidRDefault="00273922" w:rsidP="00273922">
      <w:pPr>
        <w:rPr>
          <w:rFonts w:ascii="Verdana" w:hAnsi="Verdana"/>
          <w:sz w:val="22"/>
          <w:szCs w:val="22"/>
        </w:rPr>
      </w:pPr>
      <w:r w:rsidRPr="00273922">
        <w:rPr>
          <w:rFonts w:ascii="Verdana" w:hAnsi="Verdana"/>
          <w:sz w:val="22"/>
          <w:szCs w:val="22"/>
          <w:u w:val="single"/>
        </w:rPr>
        <w:t>Emerging technologies</w:t>
      </w:r>
      <w:r w:rsidRPr="00273922">
        <w:rPr>
          <w:rFonts w:ascii="Verdana" w:hAnsi="Verdana"/>
          <w:sz w:val="22"/>
          <w:szCs w:val="22"/>
        </w:rPr>
        <w:t xml:space="preserve">: While there are many emerging technologies, including some being developed by TechNet </w:t>
      </w:r>
      <w:r>
        <w:rPr>
          <w:rFonts w:ascii="Verdana" w:hAnsi="Verdana"/>
          <w:sz w:val="22"/>
          <w:szCs w:val="22"/>
        </w:rPr>
        <w:t>m</w:t>
      </w:r>
      <w:r w:rsidRPr="00273922">
        <w:rPr>
          <w:rFonts w:ascii="Verdana" w:hAnsi="Verdana"/>
          <w:sz w:val="22"/>
          <w:szCs w:val="22"/>
        </w:rPr>
        <w:t xml:space="preserve">embers, TechNet encourages the Commission to focus on the value of existing technologies. Today’s smart charging equipment allows consumers to schedule charging at times when energy prices are low and grid capacity is readily available, as well as participate in demand response programs allowing charging to be interrupted or slowed to respond to energy availability and/or grid conditions. TechNet believes that competition drives innovation and encourages the Commission to ensure open and competitive markets for electric vehicle charging services. </w:t>
      </w:r>
    </w:p>
    <w:p w14:paraId="3594D1BA" w14:textId="77777777" w:rsidR="00273922" w:rsidRPr="00273922" w:rsidRDefault="00273922" w:rsidP="00273922">
      <w:pPr>
        <w:rPr>
          <w:rFonts w:ascii="Verdana" w:hAnsi="Verdana"/>
          <w:sz w:val="22"/>
          <w:szCs w:val="22"/>
        </w:rPr>
      </w:pPr>
    </w:p>
    <w:p w14:paraId="5B39828A" w14:textId="77777777" w:rsidR="004C3521" w:rsidRDefault="004C3521" w:rsidP="00273922">
      <w:pPr>
        <w:rPr>
          <w:rFonts w:ascii="Verdana" w:hAnsi="Verdana"/>
          <w:b/>
          <w:bCs/>
          <w:sz w:val="22"/>
          <w:szCs w:val="22"/>
          <w:u w:val="single"/>
        </w:rPr>
      </w:pPr>
    </w:p>
    <w:p w14:paraId="07E0CD36" w14:textId="77777777" w:rsidR="004C3521" w:rsidRDefault="004C3521" w:rsidP="00273922">
      <w:pPr>
        <w:rPr>
          <w:rFonts w:ascii="Verdana" w:hAnsi="Verdana"/>
          <w:b/>
          <w:bCs/>
          <w:sz w:val="22"/>
          <w:szCs w:val="22"/>
          <w:u w:val="single"/>
        </w:rPr>
      </w:pPr>
    </w:p>
    <w:p w14:paraId="249C7BBC" w14:textId="77777777" w:rsidR="004C3521" w:rsidRDefault="004C3521" w:rsidP="00273922">
      <w:pPr>
        <w:rPr>
          <w:rFonts w:ascii="Verdana" w:hAnsi="Verdana"/>
          <w:b/>
          <w:bCs/>
          <w:sz w:val="22"/>
          <w:szCs w:val="22"/>
          <w:u w:val="single"/>
        </w:rPr>
      </w:pPr>
    </w:p>
    <w:p w14:paraId="293EAB82" w14:textId="562D582C" w:rsidR="00273922" w:rsidRPr="00273922" w:rsidRDefault="00273922" w:rsidP="00273922">
      <w:pPr>
        <w:rPr>
          <w:rFonts w:ascii="Verdana" w:hAnsi="Verdana"/>
          <w:b/>
          <w:bCs/>
          <w:sz w:val="22"/>
          <w:szCs w:val="22"/>
          <w:u w:val="single"/>
        </w:rPr>
      </w:pPr>
      <w:r w:rsidRPr="00273922">
        <w:rPr>
          <w:rFonts w:ascii="Verdana" w:hAnsi="Verdana"/>
          <w:b/>
          <w:bCs/>
          <w:sz w:val="22"/>
          <w:szCs w:val="22"/>
          <w:u w:val="single"/>
        </w:rPr>
        <w:lastRenderedPageBreak/>
        <w:t>Grid Impacts</w:t>
      </w:r>
    </w:p>
    <w:p w14:paraId="64465305" w14:textId="04D8C2CD" w:rsidR="00273922" w:rsidRPr="00273922" w:rsidRDefault="00273922" w:rsidP="00273922">
      <w:pPr>
        <w:rPr>
          <w:rFonts w:ascii="Verdana" w:hAnsi="Verdana"/>
          <w:sz w:val="22"/>
          <w:szCs w:val="22"/>
        </w:rPr>
      </w:pPr>
      <w:r w:rsidRPr="00273922">
        <w:rPr>
          <w:rFonts w:ascii="Verdana" w:hAnsi="Verdana"/>
          <w:sz w:val="22"/>
          <w:szCs w:val="22"/>
        </w:rPr>
        <w:t>The Commission request</w:t>
      </w:r>
      <w:r>
        <w:rPr>
          <w:rFonts w:ascii="Verdana" w:hAnsi="Verdana"/>
          <w:sz w:val="22"/>
          <w:szCs w:val="22"/>
        </w:rPr>
        <w:t>s</w:t>
      </w:r>
      <w:r w:rsidRPr="00273922">
        <w:rPr>
          <w:rFonts w:ascii="Verdana" w:hAnsi="Verdana"/>
          <w:sz w:val="22"/>
          <w:szCs w:val="22"/>
        </w:rPr>
        <w:t xml:space="preserve"> information related to the impacts of electric vehicle charging on the distribution system, transmission system, peak demand, and siting and design standards. In response to these questions</w:t>
      </w:r>
      <w:r>
        <w:rPr>
          <w:rFonts w:ascii="Verdana" w:hAnsi="Verdana"/>
          <w:sz w:val="22"/>
          <w:szCs w:val="22"/>
        </w:rPr>
        <w:t>,</w:t>
      </w:r>
      <w:r w:rsidRPr="00273922">
        <w:rPr>
          <w:rFonts w:ascii="Verdana" w:hAnsi="Verdana"/>
          <w:sz w:val="22"/>
          <w:szCs w:val="22"/>
        </w:rPr>
        <w:t xml:space="preserve"> TechNet offers the following:</w:t>
      </w:r>
    </w:p>
    <w:p w14:paraId="78EBDAE1" w14:textId="77777777" w:rsidR="00273922" w:rsidRPr="00273922" w:rsidRDefault="00273922" w:rsidP="00273922">
      <w:pPr>
        <w:rPr>
          <w:rFonts w:ascii="Verdana" w:hAnsi="Verdana"/>
          <w:sz w:val="22"/>
          <w:szCs w:val="22"/>
        </w:rPr>
      </w:pPr>
    </w:p>
    <w:p w14:paraId="0B38D171" w14:textId="5BFF0FAB" w:rsidR="00273922" w:rsidRDefault="00273922" w:rsidP="00273922">
      <w:pPr>
        <w:rPr>
          <w:rFonts w:ascii="Verdana" w:hAnsi="Verdana"/>
          <w:sz w:val="22"/>
          <w:szCs w:val="22"/>
        </w:rPr>
      </w:pPr>
      <w:r w:rsidRPr="00273922">
        <w:rPr>
          <w:rFonts w:ascii="Verdana" w:hAnsi="Verdana"/>
          <w:sz w:val="22"/>
          <w:szCs w:val="22"/>
          <w:u w:val="single"/>
        </w:rPr>
        <w:t>System Impacts</w:t>
      </w:r>
      <w:r w:rsidRPr="00273922">
        <w:rPr>
          <w:rFonts w:ascii="Verdana" w:hAnsi="Verdana"/>
          <w:sz w:val="22"/>
          <w:szCs w:val="22"/>
        </w:rPr>
        <w:t xml:space="preserve">: Studies have </w:t>
      </w:r>
      <w:r>
        <w:rPr>
          <w:rFonts w:ascii="Verdana" w:hAnsi="Verdana"/>
          <w:sz w:val="22"/>
          <w:szCs w:val="22"/>
        </w:rPr>
        <w:t>shown</w:t>
      </w:r>
      <w:r w:rsidRPr="00273922">
        <w:rPr>
          <w:rFonts w:ascii="Verdana" w:hAnsi="Verdana"/>
          <w:sz w:val="22"/>
          <w:szCs w:val="22"/>
        </w:rPr>
        <w:t xml:space="preserve"> that electric vehicle charging </w:t>
      </w:r>
      <w:r w:rsidR="00DE058E">
        <w:rPr>
          <w:rFonts w:ascii="Verdana" w:hAnsi="Verdana"/>
          <w:sz w:val="22"/>
          <w:szCs w:val="22"/>
        </w:rPr>
        <w:t>can be</w:t>
      </w:r>
      <w:r w:rsidR="00DE058E" w:rsidRPr="00273922">
        <w:rPr>
          <w:rFonts w:ascii="Verdana" w:hAnsi="Verdana"/>
          <w:sz w:val="22"/>
          <w:szCs w:val="22"/>
        </w:rPr>
        <w:t xml:space="preserve"> </w:t>
      </w:r>
      <w:r w:rsidRPr="00273922">
        <w:rPr>
          <w:rFonts w:ascii="Verdana" w:hAnsi="Verdana"/>
          <w:sz w:val="22"/>
          <w:szCs w:val="22"/>
        </w:rPr>
        <w:t>a benefit to the grid, providing more revenues to energy and distribution providers than cost.  While Texas’s energy market is unique, it is comprised of many of the same elements such as energy generation, transmission, and distribution. Synapse Energy Economics has analyzed the cost and revenues associated with EV charging from 2012</w:t>
      </w:r>
      <w:r>
        <w:rPr>
          <w:rFonts w:ascii="Verdana" w:hAnsi="Verdana"/>
          <w:sz w:val="22"/>
          <w:szCs w:val="22"/>
        </w:rPr>
        <w:t>-</w:t>
      </w:r>
      <w:r w:rsidRPr="00273922">
        <w:rPr>
          <w:rFonts w:ascii="Verdana" w:hAnsi="Verdana"/>
          <w:sz w:val="22"/>
          <w:szCs w:val="22"/>
        </w:rPr>
        <w:t>17 in the PG&amp;E and SCE service territories.</w:t>
      </w:r>
      <w:r w:rsidRPr="00273922">
        <w:rPr>
          <w:rStyle w:val="FootnoteReference"/>
          <w:rFonts w:ascii="Verdana" w:hAnsi="Verdana"/>
          <w:sz w:val="22"/>
          <w:szCs w:val="22"/>
        </w:rPr>
        <w:footnoteReference w:id="2"/>
      </w:r>
      <w:r w:rsidRPr="00273922">
        <w:rPr>
          <w:rFonts w:ascii="Verdana" w:hAnsi="Verdana"/>
          <w:sz w:val="22"/>
          <w:szCs w:val="22"/>
        </w:rPr>
        <w:t xml:space="preserve">  As you can see from the figure below from the Synapse analysis, revenues significantly outweighed cost related to EV charging. </w:t>
      </w:r>
    </w:p>
    <w:p w14:paraId="1D66C440" w14:textId="77777777" w:rsidR="00273922" w:rsidRPr="00273922" w:rsidRDefault="00273922" w:rsidP="00273922">
      <w:pPr>
        <w:rPr>
          <w:rFonts w:ascii="Verdana" w:hAnsi="Verdana"/>
          <w:sz w:val="22"/>
          <w:szCs w:val="22"/>
        </w:rPr>
      </w:pPr>
    </w:p>
    <w:p w14:paraId="1DC79E84" w14:textId="77777777" w:rsidR="00273922" w:rsidRPr="00273922" w:rsidRDefault="00273922" w:rsidP="00273922">
      <w:pPr>
        <w:rPr>
          <w:rFonts w:ascii="Verdana" w:hAnsi="Verdana"/>
          <w:sz w:val="22"/>
          <w:szCs w:val="22"/>
        </w:rPr>
      </w:pPr>
      <w:r w:rsidRPr="00273922">
        <w:rPr>
          <w:rFonts w:ascii="Verdana" w:hAnsi="Verdana"/>
          <w:noProof/>
          <w:sz w:val="22"/>
          <w:szCs w:val="22"/>
        </w:rPr>
        <w:drawing>
          <wp:inline distT="0" distB="0" distL="0" distR="0" wp14:anchorId="6758B519" wp14:editId="290C697F">
            <wp:extent cx="5945505" cy="3559046"/>
            <wp:effectExtent l="0" t="0" r="0" b="0"/>
            <wp:docPr id="5"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20-01-27 at 1.24.40 P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77238" cy="3578042"/>
                    </a:xfrm>
                    <a:prstGeom prst="rect">
                      <a:avLst/>
                    </a:prstGeom>
                  </pic:spPr>
                </pic:pic>
              </a:graphicData>
            </a:graphic>
          </wp:inline>
        </w:drawing>
      </w:r>
    </w:p>
    <w:p w14:paraId="0E18E5DA" w14:textId="77777777" w:rsidR="00273922" w:rsidRPr="00273922" w:rsidRDefault="00273922" w:rsidP="00273922">
      <w:pPr>
        <w:ind w:left="720"/>
        <w:rPr>
          <w:rFonts w:ascii="Verdana" w:hAnsi="Verdana"/>
          <w:sz w:val="22"/>
          <w:szCs w:val="22"/>
          <w:u w:val="single"/>
        </w:rPr>
      </w:pPr>
    </w:p>
    <w:p w14:paraId="6C36A300" w14:textId="3046B3EB" w:rsidR="00273922" w:rsidRPr="00273922" w:rsidRDefault="00273922" w:rsidP="00273922">
      <w:pPr>
        <w:rPr>
          <w:rFonts w:ascii="Verdana" w:hAnsi="Verdana"/>
          <w:sz w:val="22"/>
          <w:szCs w:val="22"/>
        </w:rPr>
      </w:pPr>
      <w:r w:rsidRPr="00273922">
        <w:rPr>
          <w:rFonts w:ascii="Verdana" w:hAnsi="Verdana"/>
          <w:sz w:val="22"/>
          <w:szCs w:val="22"/>
          <w:u w:val="single"/>
        </w:rPr>
        <w:t>Energy and Demand</w:t>
      </w:r>
      <w:r w:rsidRPr="00273922">
        <w:rPr>
          <w:rFonts w:ascii="Verdana" w:hAnsi="Verdana"/>
          <w:sz w:val="22"/>
          <w:szCs w:val="22"/>
        </w:rPr>
        <w:t>: The energy demands from electric vehicles will be driven by the number of electric vehicles on Texas roads. While the new energy demands may seem large over a ten-year planning horizon, the increase in any given year will be manageable. TechNet believes that with proper planning, including annual updates to EV sales forecast, Texas’ distribution utilities, transmission planners, and energy providers will be able to plan for the manageable year</w:t>
      </w:r>
      <w:r>
        <w:rPr>
          <w:rFonts w:ascii="Verdana" w:hAnsi="Verdana"/>
          <w:sz w:val="22"/>
          <w:szCs w:val="22"/>
        </w:rPr>
        <w:t>-</w:t>
      </w:r>
      <w:r w:rsidRPr="00273922">
        <w:rPr>
          <w:rFonts w:ascii="Verdana" w:hAnsi="Verdana"/>
          <w:sz w:val="22"/>
          <w:szCs w:val="22"/>
        </w:rPr>
        <w:t>over</w:t>
      </w:r>
      <w:r>
        <w:rPr>
          <w:rFonts w:ascii="Verdana" w:hAnsi="Verdana"/>
          <w:sz w:val="22"/>
          <w:szCs w:val="22"/>
        </w:rPr>
        <w:t>-</w:t>
      </w:r>
      <w:r w:rsidRPr="00273922">
        <w:rPr>
          <w:rFonts w:ascii="Verdana" w:hAnsi="Verdana"/>
          <w:sz w:val="22"/>
          <w:szCs w:val="22"/>
        </w:rPr>
        <w:t xml:space="preserve">year growth of electric vehicles. </w:t>
      </w:r>
    </w:p>
    <w:p w14:paraId="071829CB" w14:textId="77777777" w:rsidR="00273922" w:rsidRPr="00273922" w:rsidRDefault="00273922" w:rsidP="00273922">
      <w:pPr>
        <w:rPr>
          <w:rFonts w:ascii="Verdana" w:hAnsi="Verdana"/>
          <w:sz w:val="22"/>
          <w:szCs w:val="22"/>
        </w:rPr>
      </w:pPr>
    </w:p>
    <w:p w14:paraId="45080EB6" w14:textId="62270400" w:rsidR="00273922" w:rsidRPr="00273922" w:rsidRDefault="00273922" w:rsidP="00273922">
      <w:pPr>
        <w:rPr>
          <w:rFonts w:ascii="Verdana" w:hAnsi="Verdana"/>
          <w:sz w:val="22"/>
          <w:szCs w:val="22"/>
        </w:rPr>
      </w:pPr>
      <w:r w:rsidRPr="00273922">
        <w:rPr>
          <w:rFonts w:ascii="Verdana" w:hAnsi="Verdana"/>
          <w:sz w:val="22"/>
          <w:szCs w:val="22"/>
          <w:u w:val="single"/>
        </w:rPr>
        <w:t>Siting and Design</w:t>
      </w:r>
      <w:r w:rsidRPr="00273922">
        <w:rPr>
          <w:rFonts w:ascii="Verdana" w:hAnsi="Verdana"/>
          <w:sz w:val="22"/>
          <w:szCs w:val="22"/>
        </w:rPr>
        <w:t>: Electric vehicle charging stations are constructed and operated under numerous planning, construction, and safety guidelines at local, state, and federal levels. When charging stations are connected to the grid, they go through standard utilities processes to ensure appropriate connection to the distribution system</w:t>
      </w:r>
      <w:r>
        <w:rPr>
          <w:rFonts w:ascii="Verdana" w:hAnsi="Verdana"/>
          <w:sz w:val="22"/>
          <w:szCs w:val="22"/>
        </w:rPr>
        <w:t>. However, i</w:t>
      </w:r>
      <w:r w:rsidRPr="00273922">
        <w:rPr>
          <w:rFonts w:ascii="Verdana" w:hAnsi="Verdana"/>
          <w:sz w:val="22"/>
          <w:szCs w:val="22"/>
        </w:rPr>
        <w:t xml:space="preserve">t is important to keep in mind that there is no standard configuration for charging stations. Stations could consist of anywhere from </w:t>
      </w:r>
      <w:r w:rsidR="00BC4324">
        <w:rPr>
          <w:rFonts w:ascii="Verdana" w:hAnsi="Verdana"/>
          <w:sz w:val="22"/>
          <w:szCs w:val="22"/>
        </w:rPr>
        <w:t>one</w:t>
      </w:r>
      <w:r w:rsidRPr="00273922">
        <w:rPr>
          <w:rFonts w:ascii="Verdana" w:hAnsi="Verdana"/>
          <w:sz w:val="22"/>
          <w:szCs w:val="22"/>
        </w:rPr>
        <w:t xml:space="preserve"> to 100 level two charging ports to provide charging services for a single company vehicle or a large fleet. Similarly, stations could be comprised of anywhere from</w:t>
      </w:r>
      <w:r w:rsidR="00BC4324">
        <w:rPr>
          <w:rFonts w:ascii="Verdana" w:hAnsi="Verdana"/>
          <w:sz w:val="22"/>
          <w:szCs w:val="22"/>
        </w:rPr>
        <w:t xml:space="preserve"> one</w:t>
      </w:r>
      <w:r w:rsidRPr="00273922">
        <w:rPr>
          <w:rFonts w:ascii="Verdana" w:hAnsi="Verdana"/>
          <w:sz w:val="22"/>
          <w:szCs w:val="22"/>
        </w:rPr>
        <w:t xml:space="preserve"> to 20 DCFC charging ports to provide charging services at a traditional gasoline fueling station or a facility dedicated only to electric vehicle charging. Finally, some stations may have a combination of DCFC and level 2 ports to serve a wide variety of customers.  </w:t>
      </w:r>
    </w:p>
    <w:p w14:paraId="61293E46" w14:textId="77777777" w:rsidR="00273922" w:rsidRPr="00273922" w:rsidRDefault="00273922" w:rsidP="00273922">
      <w:pPr>
        <w:rPr>
          <w:rFonts w:ascii="Verdana" w:hAnsi="Verdana"/>
          <w:sz w:val="22"/>
          <w:szCs w:val="22"/>
        </w:rPr>
      </w:pPr>
    </w:p>
    <w:p w14:paraId="0646DB53" w14:textId="7127D12A" w:rsidR="00273922" w:rsidRPr="00273922" w:rsidRDefault="00273922" w:rsidP="00273922">
      <w:pPr>
        <w:rPr>
          <w:rFonts w:ascii="Verdana" w:hAnsi="Verdana"/>
          <w:sz w:val="22"/>
          <w:szCs w:val="22"/>
        </w:rPr>
      </w:pPr>
      <w:r w:rsidRPr="00273922">
        <w:rPr>
          <w:rFonts w:ascii="Verdana" w:hAnsi="Verdana"/>
          <w:sz w:val="22"/>
          <w:szCs w:val="22"/>
        </w:rPr>
        <w:t xml:space="preserve">TechNet and our members companies thank the Commission </w:t>
      </w:r>
      <w:r w:rsidR="00BC4324">
        <w:rPr>
          <w:rFonts w:ascii="Verdana" w:hAnsi="Verdana"/>
          <w:sz w:val="22"/>
          <w:szCs w:val="22"/>
        </w:rPr>
        <w:t>for</w:t>
      </w:r>
      <w:r w:rsidRPr="00273922">
        <w:rPr>
          <w:rFonts w:ascii="Verdana" w:hAnsi="Verdana"/>
          <w:sz w:val="22"/>
          <w:szCs w:val="22"/>
        </w:rPr>
        <w:t xml:space="preserve"> the opportunity to provide comments in this proceeding. </w:t>
      </w:r>
    </w:p>
    <w:p w14:paraId="126BE4E5" w14:textId="77777777" w:rsidR="00273922" w:rsidRPr="0082451C" w:rsidRDefault="00273922" w:rsidP="002314D7">
      <w:pPr>
        <w:rPr>
          <w:rFonts w:ascii="Verdana" w:hAnsi="Verdana"/>
          <w:color w:val="000000" w:themeColor="text1"/>
          <w:sz w:val="22"/>
          <w:szCs w:val="22"/>
        </w:rPr>
      </w:pPr>
    </w:p>
    <w:p w14:paraId="73D662D8" w14:textId="07B59A04" w:rsidR="002314D7" w:rsidRPr="0082451C" w:rsidRDefault="00D06DEF" w:rsidP="002314D7">
      <w:pPr>
        <w:rPr>
          <w:rFonts w:ascii="Verdana" w:hAnsi="Verdana"/>
          <w:color w:val="000000" w:themeColor="text1"/>
          <w:sz w:val="22"/>
          <w:szCs w:val="22"/>
        </w:rPr>
      </w:pPr>
      <w:r>
        <w:rPr>
          <w:rFonts w:ascii="Verdana" w:hAnsi="Verdana"/>
          <w:noProof/>
          <w:color w:val="000000" w:themeColor="text1"/>
          <w:sz w:val="22"/>
          <w:szCs w:val="22"/>
        </w:rPr>
        <w:drawing>
          <wp:anchor distT="0" distB="0" distL="114300" distR="114300" simplePos="0" relativeHeight="251658240" behindDoc="1" locked="0" layoutInCell="1" allowOverlap="1" wp14:anchorId="487195EA" wp14:editId="6BFA2022">
            <wp:simplePos x="0" y="0"/>
            <wp:positionH relativeFrom="column">
              <wp:posOffset>0</wp:posOffset>
            </wp:positionH>
            <wp:positionV relativeFrom="paragraph">
              <wp:posOffset>174625</wp:posOffset>
            </wp:positionV>
            <wp:extent cx="1701800" cy="684530"/>
            <wp:effectExtent l="0" t="0" r="0"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E signature.png"/>
                    <pic:cNvPicPr/>
                  </pic:nvPicPr>
                  <pic:blipFill>
                    <a:blip r:embed="rId9"/>
                    <a:stretch>
                      <a:fillRect/>
                    </a:stretch>
                  </pic:blipFill>
                  <pic:spPr>
                    <a:xfrm>
                      <a:off x="0" y="0"/>
                      <a:ext cx="1701800" cy="684530"/>
                    </a:xfrm>
                    <a:prstGeom prst="rect">
                      <a:avLst/>
                    </a:prstGeom>
                  </pic:spPr>
                </pic:pic>
              </a:graphicData>
            </a:graphic>
            <wp14:sizeRelH relativeFrom="page">
              <wp14:pctWidth>0</wp14:pctWidth>
            </wp14:sizeRelH>
            <wp14:sizeRelV relativeFrom="page">
              <wp14:pctHeight>0</wp14:pctHeight>
            </wp14:sizeRelV>
          </wp:anchor>
        </w:drawing>
      </w:r>
      <w:r w:rsidR="002314D7" w:rsidRPr="0082451C">
        <w:rPr>
          <w:rFonts w:ascii="Verdana" w:hAnsi="Verdana"/>
          <w:color w:val="000000" w:themeColor="text1"/>
          <w:sz w:val="22"/>
          <w:szCs w:val="22"/>
        </w:rPr>
        <w:t>Sincerely,</w:t>
      </w:r>
    </w:p>
    <w:p w14:paraId="029AEF62" w14:textId="70EB2349" w:rsidR="002314D7" w:rsidRPr="0082451C" w:rsidRDefault="002314D7" w:rsidP="002314D7">
      <w:pPr>
        <w:rPr>
          <w:rFonts w:ascii="Verdana" w:hAnsi="Verdana"/>
          <w:color w:val="000000" w:themeColor="text1"/>
          <w:sz w:val="22"/>
          <w:szCs w:val="22"/>
        </w:rPr>
      </w:pPr>
    </w:p>
    <w:p w14:paraId="0CDE4045" w14:textId="269435CC" w:rsidR="002314D7" w:rsidRPr="0082451C" w:rsidRDefault="002314D7" w:rsidP="002314D7">
      <w:pPr>
        <w:rPr>
          <w:rFonts w:ascii="Verdana" w:hAnsi="Verdana"/>
          <w:color w:val="000000" w:themeColor="text1"/>
          <w:sz w:val="22"/>
          <w:szCs w:val="22"/>
        </w:rPr>
      </w:pPr>
    </w:p>
    <w:p w14:paraId="45545D5A" w14:textId="77777777" w:rsidR="002314D7" w:rsidRPr="0082451C" w:rsidRDefault="002314D7" w:rsidP="002314D7">
      <w:pPr>
        <w:rPr>
          <w:rFonts w:ascii="Verdana" w:hAnsi="Verdana"/>
          <w:color w:val="000000" w:themeColor="text1"/>
          <w:sz w:val="22"/>
          <w:szCs w:val="22"/>
        </w:rPr>
      </w:pPr>
    </w:p>
    <w:p w14:paraId="508E1EB3" w14:textId="77777777" w:rsidR="002314D7" w:rsidRPr="0082451C" w:rsidRDefault="002314D7" w:rsidP="002314D7">
      <w:pPr>
        <w:rPr>
          <w:rFonts w:ascii="Verdana" w:hAnsi="Verdana"/>
          <w:color w:val="000000" w:themeColor="text1"/>
          <w:sz w:val="22"/>
          <w:szCs w:val="22"/>
        </w:rPr>
      </w:pPr>
    </w:p>
    <w:p w14:paraId="773CA1D9" w14:textId="77777777" w:rsidR="002314D7" w:rsidRPr="0082451C" w:rsidRDefault="002314D7" w:rsidP="002314D7">
      <w:pPr>
        <w:rPr>
          <w:rFonts w:ascii="Verdana" w:hAnsi="Verdana"/>
          <w:color w:val="000000" w:themeColor="text1"/>
          <w:sz w:val="22"/>
          <w:szCs w:val="22"/>
        </w:rPr>
      </w:pPr>
      <w:r w:rsidRPr="0082451C">
        <w:rPr>
          <w:rFonts w:ascii="Verdana" w:hAnsi="Verdana"/>
          <w:color w:val="000000" w:themeColor="text1"/>
          <w:sz w:val="22"/>
          <w:szCs w:val="22"/>
        </w:rPr>
        <w:t>David Edmonson</w:t>
      </w:r>
    </w:p>
    <w:p w14:paraId="6C1A0674" w14:textId="77777777" w:rsidR="002314D7" w:rsidRPr="0082451C" w:rsidRDefault="002314D7" w:rsidP="002314D7">
      <w:pPr>
        <w:rPr>
          <w:rFonts w:ascii="Verdana" w:hAnsi="Verdana"/>
          <w:color w:val="000000" w:themeColor="text1"/>
          <w:sz w:val="22"/>
          <w:szCs w:val="22"/>
        </w:rPr>
      </w:pPr>
      <w:r w:rsidRPr="0082451C">
        <w:rPr>
          <w:rFonts w:ascii="Verdana" w:hAnsi="Verdana"/>
          <w:color w:val="000000" w:themeColor="text1"/>
          <w:sz w:val="22"/>
          <w:szCs w:val="22"/>
        </w:rPr>
        <w:t>Executive Director, Southeast</w:t>
      </w:r>
    </w:p>
    <w:p w14:paraId="3D767D76" w14:textId="77777777" w:rsidR="002314D7" w:rsidRPr="0082451C" w:rsidRDefault="002314D7" w:rsidP="002314D7">
      <w:pPr>
        <w:rPr>
          <w:rFonts w:ascii="Verdana" w:hAnsi="Verdana"/>
          <w:color w:val="000000" w:themeColor="text1"/>
          <w:sz w:val="22"/>
          <w:szCs w:val="22"/>
        </w:rPr>
      </w:pPr>
      <w:r w:rsidRPr="0082451C">
        <w:rPr>
          <w:rFonts w:ascii="Verdana" w:hAnsi="Verdana"/>
          <w:color w:val="000000" w:themeColor="text1"/>
          <w:sz w:val="22"/>
          <w:szCs w:val="22"/>
        </w:rPr>
        <w:t>dedmonson@technet.org</w:t>
      </w:r>
    </w:p>
    <w:p w14:paraId="342BAA8F" w14:textId="4601A566" w:rsidR="00E94F1A" w:rsidRPr="002314D7" w:rsidRDefault="00E94F1A" w:rsidP="002314D7">
      <w:bookmarkStart w:id="0" w:name="_GoBack"/>
      <w:bookmarkEnd w:id="0"/>
    </w:p>
    <w:sectPr w:rsidR="00E94F1A" w:rsidRPr="002314D7" w:rsidSect="00760F29">
      <w:headerReference w:type="even" r:id="rId10"/>
      <w:headerReference w:type="default" r:id="rId11"/>
      <w:footerReference w:type="even" r:id="rId12"/>
      <w:footerReference w:type="default" r:id="rId13"/>
      <w:headerReference w:type="first" r:id="rId14"/>
      <w:footerReference w:type="first" r:id="rId15"/>
      <w:pgSz w:w="12240" w:h="15840"/>
      <w:pgMar w:top="216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327FF" w14:textId="77777777" w:rsidR="007950E9" w:rsidRDefault="007950E9" w:rsidP="00AD10A0">
      <w:r>
        <w:separator/>
      </w:r>
    </w:p>
  </w:endnote>
  <w:endnote w:type="continuationSeparator" w:id="0">
    <w:p w14:paraId="6D550542" w14:textId="77777777" w:rsidR="007950E9" w:rsidRDefault="007950E9" w:rsidP="00AD1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DINPro-Regular">
    <w:altName w:val="Calibri"/>
    <w:panose1 w:val="020B0604020202020204"/>
    <w:charset w:val="00"/>
    <w:family w:val="auto"/>
    <w:pitch w:val="variable"/>
    <w:sig w:usb0="800002AF" w:usb1="4000206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41BB3" w14:textId="77777777" w:rsidR="007C274A" w:rsidRDefault="007C27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0A727" w14:textId="77777777" w:rsidR="007C274A" w:rsidRDefault="007C2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999" w14:textId="12FCA67C" w:rsidR="00AD10A0" w:rsidRDefault="00EE6807">
    <w:pPr>
      <w:pStyle w:val="Footer"/>
    </w:pPr>
    <w:r>
      <w:rPr>
        <w:noProof/>
      </w:rPr>
      <mc:AlternateContent>
        <mc:Choice Requires="wps">
          <w:drawing>
            <wp:anchor distT="0" distB="0" distL="114300" distR="114300" simplePos="0" relativeHeight="251667456" behindDoc="0" locked="0" layoutInCell="1" allowOverlap="1" wp14:anchorId="018BAC8E" wp14:editId="4F093ECB">
              <wp:simplePos x="0" y="0"/>
              <wp:positionH relativeFrom="column">
                <wp:posOffset>-457200</wp:posOffset>
              </wp:positionH>
              <wp:positionV relativeFrom="paragraph">
                <wp:posOffset>-50165</wp:posOffset>
              </wp:positionV>
              <wp:extent cx="6858000" cy="228600"/>
              <wp:effectExtent l="0" t="0" r="0" b="0"/>
              <wp:wrapNone/>
              <wp:docPr id="4" name="Text Box 4"/>
              <wp:cNvGraphicFramePr/>
              <a:graphic xmlns:a="http://schemas.openxmlformats.org/drawingml/2006/main">
                <a:graphicData uri="http://schemas.microsoft.com/office/word/2010/wordprocessingShape">
                  <wps:wsp>
                    <wps:cNvSpPr txBox="1"/>
                    <wps:spPr>
                      <a:xfrm>
                        <a:off x="0" y="0"/>
                        <a:ext cx="6858000" cy="2286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3CE81AA3" w14:textId="77777777" w:rsidR="00EE6807" w:rsidRPr="00F25D26" w:rsidRDefault="00EE6807" w:rsidP="00EE6807">
                          <w:pPr>
                            <w:pStyle w:val="Footer"/>
                            <w:jc w:val="center"/>
                            <w:rPr>
                              <w:rFonts w:ascii="Verdana" w:hAnsi="Verdana"/>
                              <w:color w:val="1D547F"/>
                              <w:sz w:val="16"/>
                              <w:szCs w:val="18"/>
                            </w:rPr>
                          </w:pPr>
                          <w:r w:rsidRPr="002E7774">
                            <w:rPr>
                              <w:rFonts w:ascii="Verdana" w:hAnsi="Verdana"/>
                              <w:color w:val="1D547F"/>
                              <w:sz w:val="16"/>
                              <w:szCs w:val="18"/>
                            </w:rPr>
                            <w:t>Washington,</w:t>
                          </w:r>
                          <w:r>
                            <w:rPr>
                              <w:rFonts w:ascii="Verdana" w:hAnsi="Verdana"/>
                              <w:color w:val="1D547F"/>
                              <w:sz w:val="16"/>
                              <w:szCs w:val="18"/>
                            </w:rPr>
                            <w:t xml:space="preserve"> </w:t>
                          </w:r>
                          <w:r w:rsidRPr="002E7774">
                            <w:rPr>
                              <w:rFonts w:ascii="Verdana" w:hAnsi="Verdana"/>
                              <w:color w:val="1D547F"/>
                              <w:sz w:val="16"/>
                              <w:szCs w:val="18"/>
                            </w:rPr>
                            <w:t>D.C.</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Silicon</w:t>
                          </w:r>
                          <w:r>
                            <w:rPr>
                              <w:rFonts w:ascii="Verdana" w:hAnsi="Verdana"/>
                              <w:color w:val="1D547F"/>
                              <w:sz w:val="16"/>
                              <w:szCs w:val="18"/>
                            </w:rPr>
                            <w:t xml:space="preserve"> </w:t>
                          </w:r>
                          <w:r w:rsidRPr="002E7774">
                            <w:rPr>
                              <w:rFonts w:ascii="Verdana" w:hAnsi="Verdana"/>
                              <w:color w:val="1D547F"/>
                              <w:sz w:val="16"/>
                              <w:szCs w:val="18"/>
                            </w:rPr>
                            <w:t>Valley</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San</w:t>
                          </w:r>
                          <w:r>
                            <w:rPr>
                              <w:rFonts w:ascii="Verdana" w:hAnsi="Verdana"/>
                              <w:color w:val="1D547F"/>
                              <w:sz w:val="16"/>
                              <w:szCs w:val="18"/>
                            </w:rPr>
                            <w:t xml:space="preserve"> </w:t>
                          </w:r>
                          <w:r w:rsidRPr="002E7774">
                            <w:rPr>
                              <w:rFonts w:ascii="Verdana" w:hAnsi="Verdana"/>
                              <w:color w:val="1D547F"/>
                              <w:sz w:val="16"/>
                              <w:szCs w:val="18"/>
                            </w:rPr>
                            <w:t>Francisco</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Sacramento</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Austin</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Boston</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Chicago </w:t>
                          </w:r>
                          <w:r w:rsidRPr="002E7774">
                            <w:rPr>
                              <w:rFonts w:ascii="Verdana" w:hAnsi="Verdana"/>
                              <w:color w:val="1D547F"/>
                              <w:sz w:val="16"/>
                              <w:szCs w:val="18"/>
                            </w:rPr>
                            <w:t>•</w:t>
                          </w:r>
                          <w:r>
                            <w:rPr>
                              <w:rFonts w:ascii="Verdana" w:hAnsi="Verdana"/>
                              <w:color w:val="1D547F"/>
                              <w:sz w:val="16"/>
                              <w:szCs w:val="18"/>
                            </w:rPr>
                            <w:t xml:space="preserve"> Olympia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Albany</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Tallahassee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18BAC8E" id="_x0000_t202" coordsize="21600,21600" o:spt="202" path="m,l,21600r21600,l21600,xe">
              <v:stroke joinstyle="miter"/>
              <v:path gradientshapeok="t" o:connecttype="rect"/>
            </v:shapetype>
            <v:shape id="Text Box 4" o:spid="_x0000_s1029" type="#_x0000_t202" style="position:absolute;margin-left:-36pt;margin-top:-3.95pt;width:540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" filled="f" stroked="f">
              <v:textbox>
                <w:txbxContent>
                  <w:p w14:paraId="3CE81AA3" w14:textId="77777777" w:rsidR="00EE6807" w:rsidRPr="00F25D26" w:rsidRDefault="00EE6807" w:rsidP="00EE6807">
                    <w:pPr>
                      <w:pStyle w:val="Footer"/>
                      <w:jc w:val="center"/>
                      <w:rPr>
                        <w:rFonts w:ascii="Verdana" w:hAnsi="Verdana"/>
                        <w:color w:val="1D547F"/>
                        <w:sz w:val="16"/>
                        <w:szCs w:val="18"/>
                      </w:rPr>
                    </w:pPr>
                    <w:r w:rsidRPr="002E7774">
                      <w:rPr>
                        <w:rFonts w:ascii="Verdana" w:hAnsi="Verdana"/>
                        <w:color w:val="1D547F"/>
                        <w:sz w:val="16"/>
                        <w:szCs w:val="18"/>
                      </w:rPr>
                      <w:t>Washington,</w:t>
                    </w:r>
                    <w:r>
                      <w:rPr>
                        <w:rFonts w:ascii="Verdana" w:hAnsi="Verdana"/>
                        <w:color w:val="1D547F"/>
                        <w:sz w:val="16"/>
                        <w:szCs w:val="18"/>
                      </w:rPr>
                      <w:t xml:space="preserve"> </w:t>
                    </w:r>
                    <w:r w:rsidRPr="002E7774">
                      <w:rPr>
                        <w:rFonts w:ascii="Verdana" w:hAnsi="Verdana"/>
                        <w:color w:val="1D547F"/>
                        <w:sz w:val="16"/>
                        <w:szCs w:val="18"/>
                      </w:rPr>
                      <w:t>D.C.</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Silicon</w:t>
                    </w:r>
                    <w:r>
                      <w:rPr>
                        <w:rFonts w:ascii="Verdana" w:hAnsi="Verdana"/>
                        <w:color w:val="1D547F"/>
                        <w:sz w:val="16"/>
                        <w:szCs w:val="18"/>
                      </w:rPr>
                      <w:t xml:space="preserve"> </w:t>
                    </w:r>
                    <w:r w:rsidRPr="002E7774">
                      <w:rPr>
                        <w:rFonts w:ascii="Verdana" w:hAnsi="Verdana"/>
                        <w:color w:val="1D547F"/>
                        <w:sz w:val="16"/>
                        <w:szCs w:val="18"/>
                      </w:rPr>
                      <w:t>Valley</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San</w:t>
                    </w:r>
                    <w:r>
                      <w:rPr>
                        <w:rFonts w:ascii="Verdana" w:hAnsi="Verdana"/>
                        <w:color w:val="1D547F"/>
                        <w:sz w:val="16"/>
                        <w:szCs w:val="18"/>
                      </w:rPr>
                      <w:t xml:space="preserve"> </w:t>
                    </w:r>
                    <w:r w:rsidRPr="002E7774">
                      <w:rPr>
                        <w:rFonts w:ascii="Verdana" w:hAnsi="Verdana"/>
                        <w:color w:val="1D547F"/>
                        <w:sz w:val="16"/>
                        <w:szCs w:val="18"/>
                      </w:rPr>
                      <w:t>Francisco</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Sacramento</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Austin</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Boston</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Chicago </w:t>
                    </w:r>
                    <w:r w:rsidRPr="002E7774">
                      <w:rPr>
                        <w:rFonts w:ascii="Verdana" w:hAnsi="Verdana"/>
                        <w:color w:val="1D547F"/>
                        <w:sz w:val="16"/>
                        <w:szCs w:val="18"/>
                      </w:rPr>
                      <w:t>•</w:t>
                    </w:r>
                    <w:r>
                      <w:rPr>
                        <w:rFonts w:ascii="Verdana" w:hAnsi="Verdana"/>
                        <w:color w:val="1D547F"/>
                        <w:sz w:val="16"/>
                        <w:szCs w:val="18"/>
                      </w:rPr>
                      <w:t xml:space="preserve"> Olympia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Albany</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Tallahassee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E517D" w14:textId="77777777" w:rsidR="007950E9" w:rsidRDefault="007950E9" w:rsidP="00AD10A0">
      <w:r>
        <w:separator/>
      </w:r>
    </w:p>
  </w:footnote>
  <w:footnote w:type="continuationSeparator" w:id="0">
    <w:p w14:paraId="3E7D0B03" w14:textId="77777777" w:rsidR="007950E9" w:rsidRDefault="007950E9" w:rsidP="00AD10A0">
      <w:r>
        <w:continuationSeparator/>
      </w:r>
    </w:p>
  </w:footnote>
  <w:footnote w:id="1">
    <w:p w14:paraId="188C50AE" w14:textId="77777777" w:rsidR="00273922" w:rsidRDefault="00273922" w:rsidP="00273922">
      <w:pPr>
        <w:pStyle w:val="FootnoteText"/>
      </w:pPr>
      <w:r>
        <w:rPr>
          <w:rStyle w:val="FootnoteReference"/>
        </w:rPr>
        <w:footnoteRef/>
      </w:r>
      <w:r>
        <w:t xml:space="preserve"> </w:t>
      </w:r>
      <w:r w:rsidRPr="00A70C00">
        <w:t>https://www.energy.gov/eere/electricvehicles/charging-home</w:t>
      </w:r>
    </w:p>
  </w:footnote>
  <w:footnote w:id="2">
    <w:p w14:paraId="59FFD76F" w14:textId="77777777" w:rsidR="00273922" w:rsidRDefault="00273922" w:rsidP="00273922">
      <w:pPr>
        <w:pStyle w:val="FootnoteText"/>
      </w:pPr>
      <w:r>
        <w:rPr>
          <w:rStyle w:val="FootnoteReference"/>
        </w:rPr>
        <w:footnoteRef/>
      </w:r>
      <w:r>
        <w:t xml:space="preserve"> </w:t>
      </w:r>
      <w:r w:rsidRPr="00D533D0">
        <w:t>https://www.synapse-energy.com/sites/default/files/EVs-Driving-Rates-Down-8-122.pdf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9683C" w14:textId="2E06329D" w:rsidR="007C274A" w:rsidRDefault="007C27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A56F8" w14:textId="3ED08ABA" w:rsidR="00AD10A0" w:rsidRDefault="00AD10A0" w:rsidP="00AD10A0">
    <w:pPr>
      <w:pStyle w:val="Header"/>
      <w:tabs>
        <w:tab w:val="clear" w:pos="8640"/>
      </w:tabs>
      <w:ind w:left="-720"/>
      <w:jc w:val="right"/>
    </w:pPr>
    <w:r w:rsidRPr="00C55F87">
      <w:rPr>
        <w:rFonts w:ascii="DINPro-Regular" w:hAnsi="DINPro-Regular"/>
        <w:noProof/>
      </w:rPr>
      <mc:AlternateContent>
        <mc:Choice Requires="wps">
          <w:drawing>
            <wp:anchor distT="0" distB="0" distL="114300" distR="114300" simplePos="0" relativeHeight="251661312" behindDoc="0" locked="0" layoutInCell="1" allowOverlap="1" wp14:anchorId="1F89EB28" wp14:editId="090F2FE2">
              <wp:simplePos x="0" y="0"/>
              <wp:positionH relativeFrom="column">
                <wp:posOffset>-1143000</wp:posOffset>
              </wp:positionH>
              <wp:positionV relativeFrom="paragraph">
                <wp:posOffset>-457200</wp:posOffset>
              </wp:positionV>
              <wp:extent cx="8458200" cy="365760"/>
              <wp:effectExtent l="0" t="0" r="25400" b="15240"/>
              <wp:wrapNone/>
              <wp:docPr id="11" name="Rectangle 11"/>
              <wp:cNvGraphicFramePr/>
              <a:graphic xmlns:a="http://schemas.openxmlformats.org/drawingml/2006/main">
                <a:graphicData uri="http://schemas.microsoft.com/office/word/2010/wordprocessingShape">
                  <wps:wsp>
                    <wps:cNvSpPr/>
                    <wps:spPr>
                      <a:xfrm>
                        <a:off x="0" y="0"/>
                        <a:ext cx="8458200" cy="365760"/>
                      </a:xfrm>
                      <a:prstGeom prst="rect">
                        <a:avLst/>
                      </a:prstGeom>
                      <a:solidFill>
                        <a:srgbClr val="080F2A"/>
                      </a:solidFill>
                      <a:effectLst/>
                    </wps:spPr>
                    <wps:style>
                      <a:lnRef idx="1">
                        <a:schemeClr val="accent1"/>
                      </a:lnRef>
                      <a:fillRef idx="3">
                        <a:schemeClr val="accent1"/>
                      </a:fillRef>
                      <a:effectRef idx="2">
                        <a:schemeClr val="accent1"/>
                      </a:effectRef>
                      <a:fontRef idx="minor">
                        <a:schemeClr val="lt1"/>
                      </a:fontRef>
                    </wps:style>
                    <wps:txbx>
                      <w:txbxContent>
                        <w:p w14:paraId="7EC9692F" w14:textId="77777777" w:rsidR="00AD10A0" w:rsidRDefault="00AD10A0" w:rsidP="00AD10A0">
                          <w:pPr>
                            <w:jc w:val="center"/>
                          </w:pPr>
                        </w:p>
                        <w:p w14:paraId="0FD52D5C" w14:textId="77777777" w:rsidR="00AD10A0" w:rsidRDefault="00AD10A0" w:rsidP="00AD10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89EB28" id="Rectangle 11" o:spid="_x0000_s1026" style="position:absolute;left:0;text-align:left;margin-left:-90pt;margin-top:-36pt;width:666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" fillcolor="#080f2a" strokecolor="#4579b8 [3044]">
              <v:textbox>
                <w:txbxContent>
                  <w:p w14:paraId="7EC9692F" w14:textId="77777777" w:rsidR="00AD10A0" w:rsidRDefault="00AD10A0" w:rsidP="00AD10A0">
                    <w:pPr>
                      <w:jc w:val="center"/>
                    </w:pPr>
                  </w:p>
                  <w:p w14:paraId="0FD52D5C" w14:textId="77777777" w:rsidR="00AD10A0" w:rsidRDefault="00AD10A0" w:rsidP="00AD10A0"/>
                </w:txbxContent>
              </v:textbox>
            </v:rect>
          </w:pict>
        </mc:Fallback>
      </mc:AlternateContent>
    </w:r>
    <w:r>
      <w:tab/>
    </w:r>
    <w:r w:rsidRPr="004C1245">
      <w:rPr>
        <w:noProof/>
      </w:rPr>
      <w:drawing>
        <wp:inline distT="0" distB="0" distL="0" distR="0" wp14:anchorId="26AC961E" wp14:editId="4607CC66">
          <wp:extent cx="1729739" cy="576580"/>
          <wp:effectExtent l="0" t="0" r="0" b="7620"/>
          <wp:docPr id="7" name="Picture 7" descr="Macintosh HD:Users:Thomas:Desktop:Desktop:untitled folder:Projects:TechNet:Brand_Final_1_19:Social Media Imagery:TECHNET Social Media Skins-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Thomas:Desktop:Desktop:untitled folder:Projects:TechNet:Brand_Final_1_19:Social Media Imagery:TECHNET Social Media Skins-09.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572" cy="576858"/>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A2DD9" w14:textId="54D29760" w:rsidR="00AD10A0" w:rsidRDefault="00AD10A0" w:rsidP="00AD10A0">
    <w:pPr>
      <w:pStyle w:val="Header"/>
      <w:ind w:left="-720"/>
    </w:pPr>
    <w:r>
      <w:rPr>
        <w:noProof/>
      </w:rPr>
      <mc:AlternateContent>
        <mc:Choice Requires="wps">
          <w:drawing>
            <wp:anchor distT="0" distB="0" distL="114300" distR="114300" simplePos="0" relativeHeight="251665408" behindDoc="0" locked="1" layoutInCell="1" allowOverlap="1" wp14:anchorId="3439342E" wp14:editId="305C9DD2">
              <wp:simplePos x="0" y="0"/>
              <wp:positionH relativeFrom="leftMargin">
                <wp:posOffset>3771900</wp:posOffset>
              </wp:positionH>
              <wp:positionV relativeFrom="paragraph">
                <wp:posOffset>342900</wp:posOffset>
              </wp:positionV>
              <wp:extent cx="3543300" cy="594360"/>
              <wp:effectExtent l="0" t="0" r="12700" b="15240"/>
              <wp:wrapNone/>
              <wp:docPr id="3" name="Text Box 3"/>
              <wp:cNvGraphicFramePr/>
              <a:graphic xmlns:a="http://schemas.openxmlformats.org/drawingml/2006/main">
                <a:graphicData uri="http://schemas.microsoft.com/office/word/2010/wordprocessingShape">
                  <wps:wsp>
                    <wps:cNvSpPr txBox="1"/>
                    <wps:spPr>
                      <a:xfrm>
                        <a:off x="0" y="0"/>
                        <a:ext cx="3543300" cy="59436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703808D" w14:textId="77777777" w:rsidR="00AD10A0" w:rsidRPr="00275615" w:rsidRDefault="00AD10A0" w:rsidP="00AD10A0">
                          <w:pPr>
                            <w:jc w:val="right"/>
                            <w:rPr>
                              <w:rFonts w:ascii="Verdana" w:hAnsi="Verdana"/>
                              <w:color w:val="365F91" w:themeColor="accent1" w:themeShade="BF"/>
                              <w:sz w:val="7"/>
                              <w:szCs w:val="7"/>
                            </w:rPr>
                          </w:pPr>
                        </w:p>
                        <w:p w14:paraId="7FB8E185" w14:textId="25BFC2E2" w:rsidR="00B056B2" w:rsidRDefault="004C560C" w:rsidP="00AD10A0">
                          <w:pPr>
                            <w:jc w:val="right"/>
                            <w:rPr>
                              <w:rFonts w:ascii="Verdana" w:hAnsi="Verdana"/>
                              <w:color w:val="365F91" w:themeColor="accent1" w:themeShade="BF"/>
                              <w:sz w:val="18"/>
                              <w:szCs w:val="18"/>
                            </w:rPr>
                          </w:pPr>
                          <w:r>
                            <w:rPr>
                              <w:rFonts w:ascii="Verdana" w:hAnsi="Verdana"/>
                              <w:color w:val="365F91" w:themeColor="accent1" w:themeShade="BF"/>
                              <w:sz w:val="18"/>
                              <w:szCs w:val="18"/>
                            </w:rPr>
                            <w:t xml:space="preserve">TechNet </w:t>
                          </w:r>
                          <w:r w:rsidR="002975A1">
                            <w:rPr>
                              <w:rFonts w:ascii="Verdana" w:hAnsi="Verdana"/>
                              <w:color w:val="365F91" w:themeColor="accent1" w:themeShade="BF"/>
                              <w:sz w:val="18"/>
                              <w:szCs w:val="18"/>
                            </w:rPr>
                            <w:t>Southeast</w:t>
                          </w:r>
                          <w:r>
                            <w:rPr>
                              <w:rFonts w:ascii="Verdana" w:hAnsi="Verdana"/>
                              <w:color w:val="365F91" w:themeColor="accent1" w:themeShade="BF"/>
                              <w:sz w:val="18"/>
                              <w:szCs w:val="18"/>
                            </w:rPr>
                            <w:t xml:space="preserve"> | Telephone </w:t>
                          </w:r>
                          <w:r w:rsidR="002975A1">
                            <w:rPr>
                              <w:rFonts w:ascii="Verdana" w:hAnsi="Verdana"/>
                              <w:color w:val="365F91" w:themeColor="accent1" w:themeShade="BF"/>
                              <w:sz w:val="18"/>
                              <w:szCs w:val="18"/>
                            </w:rPr>
                            <w:t>512.</w:t>
                          </w:r>
                          <w:r w:rsidR="00D83011">
                            <w:rPr>
                              <w:rFonts w:ascii="Verdana" w:hAnsi="Verdana"/>
                              <w:color w:val="365F91" w:themeColor="accent1" w:themeShade="BF"/>
                              <w:sz w:val="18"/>
                              <w:szCs w:val="18"/>
                            </w:rPr>
                            <w:t>689</w:t>
                          </w:r>
                          <w:r w:rsidR="002975A1">
                            <w:rPr>
                              <w:rFonts w:ascii="Verdana" w:hAnsi="Verdana"/>
                              <w:color w:val="365F91" w:themeColor="accent1" w:themeShade="BF"/>
                              <w:sz w:val="18"/>
                              <w:szCs w:val="18"/>
                            </w:rPr>
                            <w:t>.</w:t>
                          </w:r>
                          <w:r w:rsidR="00D83011">
                            <w:rPr>
                              <w:rFonts w:ascii="Verdana" w:hAnsi="Verdana"/>
                              <w:color w:val="365F91" w:themeColor="accent1" w:themeShade="BF"/>
                              <w:sz w:val="18"/>
                              <w:szCs w:val="18"/>
                            </w:rPr>
                            <w:t>1050</w:t>
                          </w:r>
                        </w:p>
                        <w:p w14:paraId="0366B554" w14:textId="1D6472A5" w:rsidR="004C560C" w:rsidRDefault="002975A1" w:rsidP="00AD10A0">
                          <w:pPr>
                            <w:jc w:val="right"/>
                            <w:rPr>
                              <w:rFonts w:ascii="Verdana" w:hAnsi="Verdana"/>
                              <w:color w:val="365F91" w:themeColor="accent1" w:themeShade="BF"/>
                              <w:sz w:val="18"/>
                              <w:szCs w:val="18"/>
                            </w:rPr>
                          </w:pPr>
                          <w:r>
                            <w:rPr>
                              <w:rFonts w:ascii="Verdana" w:hAnsi="Verdana"/>
                              <w:color w:val="365F91" w:themeColor="accent1" w:themeShade="BF"/>
                              <w:sz w:val="18"/>
                              <w:szCs w:val="18"/>
                            </w:rPr>
                            <w:t>208 West 14</w:t>
                          </w:r>
                          <w:r w:rsidRPr="002975A1">
                            <w:rPr>
                              <w:rFonts w:ascii="Verdana" w:hAnsi="Verdana"/>
                              <w:color w:val="365F91" w:themeColor="accent1" w:themeShade="BF"/>
                              <w:sz w:val="18"/>
                              <w:szCs w:val="18"/>
                            </w:rPr>
                            <w:t>th</w:t>
                          </w:r>
                          <w:r>
                            <w:rPr>
                              <w:rFonts w:ascii="Verdana" w:hAnsi="Verdana"/>
                              <w:color w:val="365F91" w:themeColor="accent1" w:themeShade="BF"/>
                              <w:sz w:val="18"/>
                              <w:szCs w:val="18"/>
                            </w:rPr>
                            <w:t xml:space="preserve"> Street, Austin, TX 78701 </w:t>
                          </w:r>
                        </w:p>
                        <w:p w14:paraId="68038DCE" w14:textId="72B0B748" w:rsidR="00AD10A0" w:rsidRPr="00275615" w:rsidRDefault="00AD10A0" w:rsidP="00AD10A0">
                          <w:pPr>
                            <w:jc w:val="right"/>
                            <w:rPr>
                              <w:rFonts w:ascii="Verdana" w:hAnsi="Verdana"/>
                              <w:color w:val="365F91" w:themeColor="accent1" w:themeShade="BF"/>
                              <w:sz w:val="18"/>
                              <w:szCs w:val="18"/>
                            </w:rPr>
                          </w:pPr>
                          <w:r w:rsidRPr="00275615">
                            <w:rPr>
                              <w:rFonts w:ascii="Verdana" w:hAnsi="Verdana"/>
                              <w:color w:val="365F91" w:themeColor="accent1" w:themeShade="BF"/>
                              <w:sz w:val="18"/>
                              <w:szCs w:val="18"/>
                            </w:rPr>
                            <w:t>www.technet.org | @</w:t>
                          </w:r>
                          <w:proofErr w:type="spellStart"/>
                          <w:r w:rsidRPr="00275615">
                            <w:rPr>
                              <w:rFonts w:ascii="Verdana" w:hAnsi="Verdana"/>
                              <w:color w:val="365F91" w:themeColor="accent1" w:themeShade="BF"/>
                              <w:sz w:val="18"/>
                              <w:szCs w:val="18"/>
                            </w:rPr>
                            <w:t>TechNetUpdate</w:t>
                          </w:r>
                          <w:proofErr w:type="spellEnd"/>
                        </w:p>
                        <w:p w14:paraId="6B6416D6" w14:textId="77777777" w:rsidR="00AD10A0" w:rsidRPr="00275615" w:rsidRDefault="00AD10A0" w:rsidP="00AD10A0">
                          <w:pPr>
                            <w:jc w:val="right"/>
                            <w:rPr>
                              <w:rFonts w:ascii="Verdana" w:hAnsi="Verdana"/>
                              <w:color w:val="365F91" w:themeColor="accent1" w:themeShade="BF"/>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9342E" id="_x0000_t202" coordsize="21600,21600" o:spt="202" path="m,l,21600r21600,l21600,xe">
              <v:stroke joinstyle="miter"/>
              <v:path gradientshapeok="t" o:connecttype="rect"/>
            </v:shapetype>
            <v:shape id="Text Box 3" o:spid="_x0000_s1027" type="#_x0000_t202" style="position:absolute;left:0;text-align:left;margin-left:297pt;margin-top:27pt;width:279pt;height:46.8pt;z-index:25166540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" filled="f" stroked="f">
              <v:textbox inset="0,0,0,0">
                <w:txbxContent>
                  <w:p w14:paraId="6703808D" w14:textId="77777777" w:rsidR="00AD10A0" w:rsidRPr="00275615" w:rsidRDefault="00AD10A0" w:rsidP="00AD10A0">
                    <w:pPr>
                      <w:jc w:val="right"/>
                      <w:rPr>
                        <w:rFonts w:ascii="Verdana" w:hAnsi="Verdana"/>
                        <w:color w:val="365F91" w:themeColor="accent1" w:themeShade="BF"/>
                        <w:sz w:val="7"/>
                        <w:szCs w:val="7"/>
                      </w:rPr>
                    </w:pPr>
                  </w:p>
                  <w:p w14:paraId="7FB8E185" w14:textId="25BFC2E2" w:rsidR="00B056B2" w:rsidRDefault="004C560C" w:rsidP="00AD10A0">
                    <w:pPr>
                      <w:jc w:val="right"/>
                      <w:rPr>
                        <w:rFonts w:ascii="Verdana" w:hAnsi="Verdana"/>
                        <w:color w:val="365F91" w:themeColor="accent1" w:themeShade="BF"/>
                        <w:sz w:val="18"/>
                        <w:szCs w:val="18"/>
                      </w:rPr>
                    </w:pPr>
                    <w:r>
                      <w:rPr>
                        <w:rFonts w:ascii="Verdana" w:hAnsi="Verdana"/>
                        <w:color w:val="365F91" w:themeColor="accent1" w:themeShade="BF"/>
                        <w:sz w:val="18"/>
                        <w:szCs w:val="18"/>
                      </w:rPr>
                      <w:t xml:space="preserve">TechNet </w:t>
                    </w:r>
                    <w:r w:rsidR="002975A1">
                      <w:rPr>
                        <w:rFonts w:ascii="Verdana" w:hAnsi="Verdana"/>
                        <w:color w:val="365F91" w:themeColor="accent1" w:themeShade="BF"/>
                        <w:sz w:val="18"/>
                        <w:szCs w:val="18"/>
                      </w:rPr>
                      <w:t>Southeast</w:t>
                    </w:r>
                    <w:r>
                      <w:rPr>
                        <w:rFonts w:ascii="Verdana" w:hAnsi="Verdana"/>
                        <w:color w:val="365F91" w:themeColor="accent1" w:themeShade="BF"/>
                        <w:sz w:val="18"/>
                        <w:szCs w:val="18"/>
                      </w:rPr>
                      <w:t xml:space="preserve"> | Telephone </w:t>
                    </w:r>
                    <w:r w:rsidR="002975A1">
                      <w:rPr>
                        <w:rFonts w:ascii="Verdana" w:hAnsi="Verdana"/>
                        <w:color w:val="365F91" w:themeColor="accent1" w:themeShade="BF"/>
                        <w:sz w:val="18"/>
                        <w:szCs w:val="18"/>
                      </w:rPr>
                      <w:t>512.</w:t>
                    </w:r>
                    <w:r w:rsidR="00D83011">
                      <w:rPr>
                        <w:rFonts w:ascii="Verdana" w:hAnsi="Verdana"/>
                        <w:color w:val="365F91" w:themeColor="accent1" w:themeShade="BF"/>
                        <w:sz w:val="18"/>
                        <w:szCs w:val="18"/>
                      </w:rPr>
                      <w:t>689</w:t>
                    </w:r>
                    <w:r w:rsidR="002975A1">
                      <w:rPr>
                        <w:rFonts w:ascii="Verdana" w:hAnsi="Verdana"/>
                        <w:color w:val="365F91" w:themeColor="accent1" w:themeShade="BF"/>
                        <w:sz w:val="18"/>
                        <w:szCs w:val="18"/>
                      </w:rPr>
                      <w:t>.</w:t>
                    </w:r>
                    <w:r w:rsidR="00D83011">
                      <w:rPr>
                        <w:rFonts w:ascii="Verdana" w:hAnsi="Verdana"/>
                        <w:color w:val="365F91" w:themeColor="accent1" w:themeShade="BF"/>
                        <w:sz w:val="18"/>
                        <w:szCs w:val="18"/>
                      </w:rPr>
                      <w:t>1050</w:t>
                    </w:r>
                  </w:p>
                  <w:p w14:paraId="0366B554" w14:textId="1D6472A5" w:rsidR="004C560C" w:rsidRDefault="002975A1" w:rsidP="00AD10A0">
                    <w:pPr>
                      <w:jc w:val="right"/>
                      <w:rPr>
                        <w:rFonts w:ascii="Verdana" w:hAnsi="Verdana"/>
                        <w:color w:val="365F91" w:themeColor="accent1" w:themeShade="BF"/>
                        <w:sz w:val="18"/>
                        <w:szCs w:val="18"/>
                      </w:rPr>
                    </w:pPr>
                    <w:r>
                      <w:rPr>
                        <w:rFonts w:ascii="Verdana" w:hAnsi="Verdana"/>
                        <w:color w:val="365F91" w:themeColor="accent1" w:themeShade="BF"/>
                        <w:sz w:val="18"/>
                        <w:szCs w:val="18"/>
                      </w:rPr>
                      <w:t>208 West 14</w:t>
                    </w:r>
                    <w:r w:rsidRPr="002975A1">
                      <w:rPr>
                        <w:rFonts w:ascii="Verdana" w:hAnsi="Verdana"/>
                        <w:color w:val="365F91" w:themeColor="accent1" w:themeShade="BF"/>
                        <w:sz w:val="18"/>
                        <w:szCs w:val="18"/>
                      </w:rPr>
                      <w:t>th</w:t>
                    </w:r>
                    <w:r>
                      <w:rPr>
                        <w:rFonts w:ascii="Verdana" w:hAnsi="Verdana"/>
                        <w:color w:val="365F91" w:themeColor="accent1" w:themeShade="BF"/>
                        <w:sz w:val="18"/>
                        <w:szCs w:val="18"/>
                      </w:rPr>
                      <w:t xml:space="preserve"> Street, Austin, TX 78701 </w:t>
                    </w:r>
                  </w:p>
                  <w:p w14:paraId="68038DCE" w14:textId="72B0B748" w:rsidR="00AD10A0" w:rsidRPr="00275615" w:rsidRDefault="00AD10A0" w:rsidP="00AD10A0">
                    <w:pPr>
                      <w:jc w:val="right"/>
                      <w:rPr>
                        <w:rFonts w:ascii="Verdana" w:hAnsi="Verdana"/>
                        <w:color w:val="365F91" w:themeColor="accent1" w:themeShade="BF"/>
                        <w:sz w:val="18"/>
                        <w:szCs w:val="18"/>
                      </w:rPr>
                    </w:pPr>
                    <w:r w:rsidRPr="00275615">
                      <w:rPr>
                        <w:rFonts w:ascii="Verdana" w:hAnsi="Verdana"/>
                        <w:color w:val="365F91" w:themeColor="accent1" w:themeShade="BF"/>
                        <w:sz w:val="18"/>
                        <w:szCs w:val="18"/>
                      </w:rPr>
                      <w:t>www.technet.org | @</w:t>
                    </w:r>
                    <w:proofErr w:type="spellStart"/>
                    <w:r w:rsidRPr="00275615">
                      <w:rPr>
                        <w:rFonts w:ascii="Verdana" w:hAnsi="Verdana"/>
                        <w:color w:val="365F91" w:themeColor="accent1" w:themeShade="BF"/>
                        <w:sz w:val="18"/>
                        <w:szCs w:val="18"/>
                      </w:rPr>
                      <w:t>TechNetUpdate</w:t>
                    </w:r>
                    <w:proofErr w:type="spellEnd"/>
                  </w:p>
                  <w:p w14:paraId="6B6416D6" w14:textId="77777777" w:rsidR="00AD10A0" w:rsidRPr="00275615" w:rsidRDefault="00AD10A0" w:rsidP="00AD10A0">
                    <w:pPr>
                      <w:jc w:val="right"/>
                      <w:rPr>
                        <w:rFonts w:ascii="Verdana" w:hAnsi="Verdana"/>
                        <w:color w:val="365F91" w:themeColor="accent1" w:themeShade="BF"/>
                        <w:sz w:val="18"/>
                        <w:szCs w:val="18"/>
                      </w:rPr>
                    </w:pPr>
                  </w:p>
                </w:txbxContent>
              </v:textbox>
              <w10:wrap anchorx="margin"/>
              <w10:anchorlock/>
            </v:shape>
          </w:pict>
        </mc:Fallback>
      </mc:AlternateContent>
    </w:r>
    <w:r w:rsidRPr="00C55F87">
      <w:rPr>
        <w:rFonts w:ascii="DINPro-Regular" w:hAnsi="DINPro-Regular"/>
        <w:noProof/>
      </w:rPr>
      <mc:AlternateContent>
        <mc:Choice Requires="wps">
          <w:drawing>
            <wp:anchor distT="0" distB="0" distL="114300" distR="114300" simplePos="0" relativeHeight="251663360" behindDoc="0" locked="0" layoutInCell="1" allowOverlap="1" wp14:anchorId="66BBD94F" wp14:editId="4F8C9114">
              <wp:simplePos x="0" y="0"/>
              <wp:positionH relativeFrom="column">
                <wp:posOffset>-990600</wp:posOffset>
              </wp:positionH>
              <wp:positionV relativeFrom="paragraph">
                <wp:posOffset>-457200</wp:posOffset>
              </wp:positionV>
              <wp:extent cx="8458200" cy="365760"/>
              <wp:effectExtent l="0" t="0" r="25400" b="15240"/>
              <wp:wrapNone/>
              <wp:docPr id="2" name="Rectangle 2"/>
              <wp:cNvGraphicFramePr/>
              <a:graphic xmlns:a="http://schemas.openxmlformats.org/drawingml/2006/main">
                <a:graphicData uri="http://schemas.microsoft.com/office/word/2010/wordprocessingShape">
                  <wps:wsp>
                    <wps:cNvSpPr/>
                    <wps:spPr>
                      <a:xfrm>
                        <a:off x="0" y="0"/>
                        <a:ext cx="8458200" cy="365760"/>
                      </a:xfrm>
                      <a:prstGeom prst="rect">
                        <a:avLst/>
                      </a:prstGeom>
                      <a:solidFill>
                        <a:srgbClr val="080F2A"/>
                      </a:solidFill>
                      <a:effectLst/>
                    </wps:spPr>
                    <wps:style>
                      <a:lnRef idx="1">
                        <a:schemeClr val="accent1"/>
                      </a:lnRef>
                      <a:fillRef idx="3">
                        <a:schemeClr val="accent1"/>
                      </a:fillRef>
                      <a:effectRef idx="2">
                        <a:schemeClr val="accent1"/>
                      </a:effectRef>
                      <a:fontRef idx="minor">
                        <a:schemeClr val="lt1"/>
                      </a:fontRef>
                    </wps:style>
                    <wps:txbx>
                      <w:txbxContent>
                        <w:p w14:paraId="441ABDE2" w14:textId="77777777" w:rsidR="00AD10A0" w:rsidRDefault="00AD10A0" w:rsidP="00AD10A0">
                          <w:pPr>
                            <w:jc w:val="center"/>
                          </w:pPr>
                        </w:p>
                        <w:p w14:paraId="50F36D14" w14:textId="77777777" w:rsidR="00AD10A0" w:rsidRDefault="00AD10A0" w:rsidP="00AD10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BBD94F" id="Rectangle 2" o:spid="_x0000_s1028" style="position:absolute;left:0;text-align:left;margin-left:-78pt;margin-top:-36pt;width:666pt;height:2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" fillcolor="#080f2a" strokecolor="#4579b8 [3044]">
              <v:textbox>
                <w:txbxContent>
                  <w:p w14:paraId="441ABDE2" w14:textId="77777777" w:rsidR="00AD10A0" w:rsidRDefault="00AD10A0" w:rsidP="00AD10A0">
                    <w:pPr>
                      <w:jc w:val="center"/>
                    </w:pPr>
                  </w:p>
                  <w:p w14:paraId="50F36D14" w14:textId="77777777" w:rsidR="00AD10A0" w:rsidRDefault="00AD10A0" w:rsidP="00AD10A0"/>
                </w:txbxContent>
              </v:textbox>
            </v:rect>
          </w:pict>
        </mc:Fallback>
      </mc:AlternateContent>
    </w:r>
    <w:r w:rsidRPr="00C55F87">
      <w:rPr>
        <w:rFonts w:ascii="DINPro-Regular" w:hAnsi="DINPro-Regular"/>
        <w:noProof/>
      </w:rPr>
      <w:drawing>
        <wp:inline distT="0" distB="0" distL="0" distR="0" wp14:anchorId="5EA67CE3" wp14:editId="3411FB63">
          <wp:extent cx="2472138" cy="1097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Thomas:Desktop:test:Desktop:untitled folder:Projects:TechNet:Brand_Final_1_19:TECHNET Assets:Logos:Primary Logo:Images:Logo_Vector-02.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474209" cy="1098199"/>
                  </a:xfrm>
                  <a:prstGeom prst="rect">
                    <a:avLst/>
                  </a:prstGeom>
                  <a:noFill/>
                  <a:ln>
                    <a:noFill/>
                  </a:ln>
                </pic:spPr>
              </pic:pic>
            </a:graphicData>
          </a:graphic>
        </wp:inline>
      </w:drawing>
    </w:r>
  </w:p>
  <w:p w14:paraId="648EA74B" w14:textId="77777777" w:rsidR="00760F29" w:rsidRDefault="00760F29" w:rsidP="00AD10A0">
    <w:pPr>
      <w:pStyle w:val="Header"/>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87F8A"/>
    <w:multiLevelType w:val="multilevel"/>
    <w:tmpl w:val="6310E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774FE1"/>
    <w:multiLevelType w:val="hybridMultilevel"/>
    <w:tmpl w:val="47A60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6B6B74"/>
    <w:multiLevelType w:val="multilevel"/>
    <w:tmpl w:val="BF9402BE"/>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A0"/>
    <w:rsid w:val="000248FC"/>
    <w:rsid w:val="000839F0"/>
    <w:rsid w:val="000A7106"/>
    <w:rsid w:val="001324B1"/>
    <w:rsid w:val="002314D7"/>
    <w:rsid w:val="00254D73"/>
    <w:rsid w:val="0025743B"/>
    <w:rsid w:val="00273922"/>
    <w:rsid w:val="002975A1"/>
    <w:rsid w:val="00332716"/>
    <w:rsid w:val="00337888"/>
    <w:rsid w:val="0034031E"/>
    <w:rsid w:val="00351E46"/>
    <w:rsid w:val="00355E09"/>
    <w:rsid w:val="00367BA5"/>
    <w:rsid w:val="00382A71"/>
    <w:rsid w:val="00387205"/>
    <w:rsid w:val="003A2D9D"/>
    <w:rsid w:val="003F1D09"/>
    <w:rsid w:val="00424527"/>
    <w:rsid w:val="00456399"/>
    <w:rsid w:val="00481EAE"/>
    <w:rsid w:val="00485724"/>
    <w:rsid w:val="004C3521"/>
    <w:rsid w:val="004C560C"/>
    <w:rsid w:val="005A69A5"/>
    <w:rsid w:val="005B743F"/>
    <w:rsid w:val="00623B44"/>
    <w:rsid w:val="00657E46"/>
    <w:rsid w:val="00670215"/>
    <w:rsid w:val="006814B0"/>
    <w:rsid w:val="00683B4C"/>
    <w:rsid w:val="006C2835"/>
    <w:rsid w:val="00710615"/>
    <w:rsid w:val="00735754"/>
    <w:rsid w:val="007566B9"/>
    <w:rsid w:val="00760F29"/>
    <w:rsid w:val="0076391A"/>
    <w:rsid w:val="007950E9"/>
    <w:rsid w:val="007C274A"/>
    <w:rsid w:val="007E722B"/>
    <w:rsid w:val="00806A52"/>
    <w:rsid w:val="0082451C"/>
    <w:rsid w:val="00827A61"/>
    <w:rsid w:val="00867742"/>
    <w:rsid w:val="00922B66"/>
    <w:rsid w:val="00930DAA"/>
    <w:rsid w:val="00946241"/>
    <w:rsid w:val="00951635"/>
    <w:rsid w:val="009548D9"/>
    <w:rsid w:val="00987979"/>
    <w:rsid w:val="00991235"/>
    <w:rsid w:val="009E1FB8"/>
    <w:rsid w:val="00A27886"/>
    <w:rsid w:val="00A71C2D"/>
    <w:rsid w:val="00A73FF7"/>
    <w:rsid w:val="00A96770"/>
    <w:rsid w:val="00AD10A0"/>
    <w:rsid w:val="00B056B2"/>
    <w:rsid w:val="00B15692"/>
    <w:rsid w:val="00B205D9"/>
    <w:rsid w:val="00BC15B8"/>
    <w:rsid w:val="00BC4324"/>
    <w:rsid w:val="00BF3B81"/>
    <w:rsid w:val="00C2576A"/>
    <w:rsid w:val="00C25C18"/>
    <w:rsid w:val="00C3314F"/>
    <w:rsid w:val="00C365BA"/>
    <w:rsid w:val="00CA62B3"/>
    <w:rsid w:val="00CB4DD7"/>
    <w:rsid w:val="00CE491E"/>
    <w:rsid w:val="00CE76D2"/>
    <w:rsid w:val="00D06DEF"/>
    <w:rsid w:val="00D17D13"/>
    <w:rsid w:val="00D63696"/>
    <w:rsid w:val="00D716CB"/>
    <w:rsid w:val="00D83011"/>
    <w:rsid w:val="00D93A74"/>
    <w:rsid w:val="00DE058E"/>
    <w:rsid w:val="00DF7510"/>
    <w:rsid w:val="00E061E5"/>
    <w:rsid w:val="00E11514"/>
    <w:rsid w:val="00E17319"/>
    <w:rsid w:val="00E448B3"/>
    <w:rsid w:val="00E45CA0"/>
    <w:rsid w:val="00E946CA"/>
    <w:rsid w:val="00E94F1A"/>
    <w:rsid w:val="00E96A97"/>
    <w:rsid w:val="00EC18C0"/>
    <w:rsid w:val="00EE6807"/>
    <w:rsid w:val="00EF31C4"/>
    <w:rsid w:val="00F46406"/>
    <w:rsid w:val="00F75EC8"/>
    <w:rsid w:val="00F81DE6"/>
    <w:rsid w:val="00FC0B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7A329B"/>
  <w14:defaultImageDpi w14:val="300"/>
  <w15:docId w15:val="{A965FA06-331B-D34C-B17E-10DB93E9D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DE6"/>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0A0"/>
    <w:pPr>
      <w:tabs>
        <w:tab w:val="center" w:pos="4320"/>
        <w:tab w:val="right" w:pos="8640"/>
      </w:tabs>
    </w:pPr>
  </w:style>
  <w:style w:type="character" w:customStyle="1" w:styleId="HeaderChar">
    <w:name w:val="Header Char"/>
    <w:basedOn w:val="DefaultParagraphFont"/>
    <w:link w:val="Header"/>
    <w:uiPriority w:val="99"/>
    <w:rsid w:val="00AD10A0"/>
  </w:style>
  <w:style w:type="paragraph" w:styleId="Footer">
    <w:name w:val="footer"/>
    <w:basedOn w:val="Normal"/>
    <w:link w:val="FooterChar"/>
    <w:uiPriority w:val="99"/>
    <w:unhideWhenUsed/>
    <w:rsid w:val="00AD10A0"/>
    <w:pPr>
      <w:tabs>
        <w:tab w:val="center" w:pos="4320"/>
        <w:tab w:val="right" w:pos="8640"/>
      </w:tabs>
    </w:pPr>
  </w:style>
  <w:style w:type="character" w:customStyle="1" w:styleId="FooterChar">
    <w:name w:val="Footer Char"/>
    <w:basedOn w:val="DefaultParagraphFont"/>
    <w:link w:val="Footer"/>
    <w:uiPriority w:val="99"/>
    <w:rsid w:val="00AD10A0"/>
  </w:style>
  <w:style w:type="paragraph" w:styleId="BalloonText">
    <w:name w:val="Balloon Text"/>
    <w:basedOn w:val="Normal"/>
    <w:link w:val="BalloonTextChar"/>
    <w:uiPriority w:val="99"/>
    <w:semiHidden/>
    <w:unhideWhenUsed/>
    <w:rsid w:val="00AD10A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D10A0"/>
    <w:rPr>
      <w:rFonts w:ascii="Lucida Grande" w:hAnsi="Lucida Grande" w:cs="Lucida Grande"/>
      <w:sz w:val="18"/>
      <w:szCs w:val="18"/>
    </w:rPr>
  </w:style>
  <w:style w:type="paragraph" w:styleId="NormalWeb">
    <w:name w:val="Normal (Web)"/>
    <w:basedOn w:val="Normal"/>
    <w:uiPriority w:val="99"/>
    <w:unhideWhenUsed/>
    <w:rsid w:val="006C2835"/>
    <w:pPr>
      <w:spacing w:before="100" w:beforeAutospacing="1" w:after="100" w:afterAutospacing="1"/>
    </w:pPr>
  </w:style>
  <w:style w:type="paragraph" w:styleId="ListParagraph">
    <w:name w:val="List Paragraph"/>
    <w:basedOn w:val="Normal"/>
    <w:uiPriority w:val="34"/>
    <w:qFormat/>
    <w:rsid w:val="00351E46"/>
    <w:pPr>
      <w:ind w:left="720"/>
      <w:contextualSpacing/>
    </w:pPr>
  </w:style>
  <w:style w:type="paragraph" w:customStyle="1" w:styleId="Normal1">
    <w:name w:val="Normal1"/>
    <w:rsid w:val="005A69A5"/>
    <w:pPr>
      <w:spacing w:after="160" w:line="259" w:lineRule="auto"/>
    </w:pPr>
    <w:rPr>
      <w:rFonts w:ascii="Cambria" w:eastAsia="Cambria" w:hAnsi="Cambria" w:cs="Cambria"/>
      <w:sz w:val="22"/>
      <w:szCs w:val="22"/>
    </w:rPr>
  </w:style>
  <w:style w:type="paragraph" w:styleId="FootnoteText">
    <w:name w:val="footnote text"/>
    <w:basedOn w:val="Normal"/>
    <w:link w:val="FootnoteTextChar"/>
    <w:uiPriority w:val="99"/>
    <w:semiHidden/>
    <w:unhideWhenUsed/>
    <w:rsid w:val="00273922"/>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273922"/>
    <w:rPr>
      <w:rFonts w:eastAsiaTheme="minorHAnsi"/>
      <w:sz w:val="20"/>
      <w:szCs w:val="20"/>
    </w:rPr>
  </w:style>
  <w:style w:type="character" w:styleId="FootnoteReference">
    <w:name w:val="footnote reference"/>
    <w:basedOn w:val="DefaultParagraphFont"/>
    <w:uiPriority w:val="99"/>
    <w:semiHidden/>
    <w:unhideWhenUsed/>
    <w:rsid w:val="002739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41163">
      <w:bodyDiv w:val="1"/>
      <w:marLeft w:val="0"/>
      <w:marRight w:val="0"/>
      <w:marTop w:val="0"/>
      <w:marBottom w:val="0"/>
      <w:divBdr>
        <w:top w:val="none" w:sz="0" w:space="0" w:color="auto"/>
        <w:left w:val="none" w:sz="0" w:space="0" w:color="auto"/>
        <w:bottom w:val="none" w:sz="0" w:space="0" w:color="auto"/>
        <w:right w:val="none" w:sz="0" w:space="0" w:color="auto"/>
      </w:divBdr>
    </w:div>
    <w:div w:id="558857612">
      <w:bodyDiv w:val="1"/>
      <w:marLeft w:val="0"/>
      <w:marRight w:val="0"/>
      <w:marTop w:val="0"/>
      <w:marBottom w:val="0"/>
      <w:divBdr>
        <w:top w:val="none" w:sz="0" w:space="0" w:color="auto"/>
        <w:left w:val="none" w:sz="0" w:space="0" w:color="auto"/>
        <w:bottom w:val="none" w:sz="0" w:space="0" w:color="auto"/>
        <w:right w:val="none" w:sz="0" w:space="0" w:color="auto"/>
      </w:divBdr>
    </w:div>
    <w:div w:id="576329460">
      <w:bodyDiv w:val="1"/>
      <w:marLeft w:val="0"/>
      <w:marRight w:val="0"/>
      <w:marTop w:val="0"/>
      <w:marBottom w:val="0"/>
      <w:divBdr>
        <w:top w:val="none" w:sz="0" w:space="0" w:color="auto"/>
        <w:left w:val="none" w:sz="0" w:space="0" w:color="auto"/>
        <w:bottom w:val="none" w:sz="0" w:space="0" w:color="auto"/>
        <w:right w:val="none" w:sz="0" w:space="0" w:color="auto"/>
      </w:divBdr>
      <w:divsChild>
        <w:div w:id="1053194582">
          <w:marLeft w:val="0"/>
          <w:marRight w:val="0"/>
          <w:marTop w:val="0"/>
          <w:marBottom w:val="0"/>
          <w:divBdr>
            <w:top w:val="none" w:sz="0" w:space="0" w:color="auto"/>
            <w:left w:val="none" w:sz="0" w:space="0" w:color="auto"/>
            <w:bottom w:val="none" w:sz="0" w:space="0" w:color="auto"/>
            <w:right w:val="none" w:sz="0" w:space="0" w:color="auto"/>
          </w:divBdr>
          <w:divsChild>
            <w:div w:id="1920552336">
              <w:marLeft w:val="0"/>
              <w:marRight w:val="0"/>
              <w:marTop w:val="0"/>
              <w:marBottom w:val="0"/>
              <w:divBdr>
                <w:top w:val="none" w:sz="0" w:space="0" w:color="auto"/>
                <w:left w:val="none" w:sz="0" w:space="0" w:color="auto"/>
                <w:bottom w:val="none" w:sz="0" w:space="0" w:color="auto"/>
                <w:right w:val="none" w:sz="0" w:space="0" w:color="auto"/>
              </w:divBdr>
              <w:divsChild>
                <w:div w:id="1803423378">
                  <w:marLeft w:val="0"/>
                  <w:marRight w:val="0"/>
                  <w:marTop w:val="0"/>
                  <w:marBottom w:val="0"/>
                  <w:divBdr>
                    <w:top w:val="none" w:sz="0" w:space="0" w:color="auto"/>
                    <w:left w:val="none" w:sz="0" w:space="0" w:color="auto"/>
                    <w:bottom w:val="none" w:sz="0" w:space="0" w:color="auto"/>
                    <w:right w:val="none" w:sz="0" w:space="0" w:color="auto"/>
                  </w:divBdr>
                  <w:divsChild>
                    <w:div w:id="868228211">
                      <w:marLeft w:val="0"/>
                      <w:marRight w:val="0"/>
                      <w:marTop w:val="0"/>
                      <w:marBottom w:val="0"/>
                      <w:divBdr>
                        <w:top w:val="none" w:sz="0" w:space="0" w:color="auto"/>
                        <w:left w:val="none" w:sz="0" w:space="0" w:color="auto"/>
                        <w:bottom w:val="none" w:sz="0" w:space="0" w:color="auto"/>
                        <w:right w:val="none" w:sz="0" w:space="0" w:color="auto"/>
                      </w:divBdr>
                      <w:divsChild>
                        <w:div w:id="681711352">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542399897">
          <w:marLeft w:val="0"/>
          <w:marRight w:val="0"/>
          <w:marTop w:val="0"/>
          <w:marBottom w:val="0"/>
          <w:divBdr>
            <w:top w:val="none" w:sz="0" w:space="0" w:color="auto"/>
            <w:left w:val="none" w:sz="0" w:space="0" w:color="auto"/>
            <w:bottom w:val="none" w:sz="0" w:space="0" w:color="auto"/>
            <w:right w:val="none" w:sz="0" w:space="0" w:color="auto"/>
          </w:divBdr>
          <w:divsChild>
            <w:div w:id="1701856370">
              <w:marLeft w:val="0"/>
              <w:marRight w:val="0"/>
              <w:marTop w:val="0"/>
              <w:marBottom w:val="0"/>
              <w:divBdr>
                <w:top w:val="none" w:sz="0" w:space="0" w:color="auto"/>
                <w:left w:val="none" w:sz="0" w:space="0" w:color="auto"/>
                <w:bottom w:val="none" w:sz="0" w:space="0" w:color="auto"/>
                <w:right w:val="none" w:sz="0" w:space="0" w:color="auto"/>
              </w:divBdr>
              <w:divsChild>
                <w:div w:id="907959548">
                  <w:marLeft w:val="0"/>
                  <w:marRight w:val="0"/>
                  <w:marTop w:val="0"/>
                  <w:marBottom w:val="0"/>
                  <w:divBdr>
                    <w:top w:val="none" w:sz="0" w:space="0" w:color="auto"/>
                    <w:left w:val="none" w:sz="0" w:space="0" w:color="auto"/>
                    <w:bottom w:val="none" w:sz="0" w:space="0" w:color="auto"/>
                    <w:right w:val="none" w:sz="0" w:space="0" w:color="auto"/>
                  </w:divBdr>
                  <w:divsChild>
                    <w:div w:id="16143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432538">
      <w:bodyDiv w:val="1"/>
      <w:marLeft w:val="0"/>
      <w:marRight w:val="0"/>
      <w:marTop w:val="0"/>
      <w:marBottom w:val="0"/>
      <w:divBdr>
        <w:top w:val="none" w:sz="0" w:space="0" w:color="auto"/>
        <w:left w:val="none" w:sz="0" w:space="0" w:color="auto"/>
        <w:bottom w:val="none" w:sz="0" w:space="0" w:color="auto"/>
        <w:right w:val="none" w:sz="0" w:space="0" w:color="auto"/>
      </w:divBdr>
    </w:div>
    <w:div w:id="934050858">
      <w:bodyDiv w:val="1"/>
      <w:marLeft w:val="0"/>
      <w:marRight w:val="0"/>
      <w:marTop w:val="0"/>
      <w:marBottom w:val="0"/>
      <w:divBdr>
        <w:top w:val="none" w:sz="0" w:space="0" w:color="auto"/>
        <w:left w:val="none" w:sz="0" w:space="0" w:color="auto"/>
        <w:bottom w:val="none" w:sz="0" w:space="0" w:color="auto"/>
        <w:right w:val="none" w:sz="0" w:space="0" w:color="auto"/>
      </w:divBdr>
    </w:div>
    <w:div w:id="1002006844">
      <w:bodyDiv w:val="1"/>
      <w:marLeft w:val="0"/>
      <w:marRight w:val="0"/>
      <w:marTop w:val="0"/>
      <w:marBottom w:val="0"/>
      <w:divBdr>
        <w:top w:val="none" w:sz="0" w:space="0" w:color="auto"/>
        <w:left w:val="none" w:sz="0" w:space="0" w:color="auto"/>
        <w:bottom w:val="none" w:sz="0" w:space="0" w:color="auto"/>
        <w:right w:val="none" w:sz="0" w:space="0" w:color="auto"/>
      </w:divBdr>
    </w:div>
    <w:div w:id="1002581922">
      <w:bodyDiv w:val="1"/>
      <w:marLeft w:val="0"/>
      <w:marRight w:val="0"/>
      <w:marTop w:val="0"/>
      <w:marBottom w:val="0"/>
      <w:divBdr>
        <w:top w:val="none" w:sz="0" w:space="0" w:color="auto"/>
        <w:left w:val="none" w:sz="0" w:space="0" w:color="auto"/>
        <w:bottom w:val="none" w:sz="0" w:space="0" w:color="auto"/>
        <w:right w:val="none" w:sz="0" w:space="0" w:color="auto"/>
      </w:divBdr>
    </w:div>
    <w:div w:id="1169443705">
      <w:bodyDiv w:val="1"/>
      <w:marLeft w:val="0"/>
      <w:marRight w:val="0"/>
      <w:marTop w:val="0"/>
      <w:marBottom w:val="0"/>
      <w:divBdr>
        <w:top w:val="none" w:sz="0" w:space="0" w:color="auto"/>
        <w:left w:val="none" w:sz="0" w:space="0" w:color="auto"/>
        <w:bottom w:val="none" w:sz="0" w:space="0" w:color="auto"/>
        <w:right w:val="none" w:sz="0" w:space="0" w:color="auto"/>
      </w:divBdr>
    </w:div>
    <w:div w:id="1470898093">
      <w:bodyDiv w:val="1"/>
      <w:marLeft w:val="0"/>
      <w:marRight w:val="0"/>
      <w:marTop w:val="0"/>
      <w:marBottom w:val="0"/>
      <w:divBdr>
        <w:top w:val="none" w:sz="0" w:space="0" w:color="auto"/>
        <w:left w:val="none" w:sz="0" w:space="0" w:color="auto"/>
        <w:bottom w:val="none" w:sz="0" w:space="0" w:color="auto"/>
        <w:right w:val="none" w:sz="0" w:space="0" w:color="auto"/>
      </w:divBdr>
    </w:div>
    <w:div w:id="1573586938">
      <w:bodyDiv w:val="1"/>
      <w:marLeft w:val="0"/>
      <w:marRight w:val="0"/>
      <w:marTop w:val="0"/>
      <w:marBottom w:val="0"/>
      <w:divBdr>
        <w:top w:val="none" w:sz="0" w:space="0" w:color="auto"/>
        <w:left w:val="none" w:sz="0" w:space="0" w:color="auto"/>
        <w:bottom w:val="none" w:sz="0" w:space="0" w:color="auto"/>
        <w:right w:val="none" w:sz="0" w:space="0" w:color="auto"/>
      </w:divBdr>
    </w:div>
    <w:div w:id="1655453603">
      <w:bodyDiv w:val="1"/>
      <w:marLeft w:val="0"/>
      <w:marRight w:val="0"/>
      <w:marTop w:val="0"/>
      <w:marBottom w:val="0"/>
      <w:divBdr>
        <w:top w:val="none" w:sz="0" w:space="0" w:color="auto"/>
        <w:left w:val="none" w:sz="0" w:space="0" w:color="auto"/>
        <w:bottom w:val="none" w:sz="0" w:space="0" w:color="auto"/>
        <w:right w:val="none" w:sz="0" w:space="0" w:color="auto"/>
      </w:divBdr>
    </w:div>
    <w:div w:id="1853228705">
      <w:bodyDiv w:val="1"/>
      <w:marLeft w:val="0"/>
      <w:marRight w:val="0"/>
      <w:marTop w:val="0"/>
      <w:marBottom w:val="0"/>
      <w:divBdr>
        <w:top w:val="none" w:sz="0" w:space="0" w:color="auto"/>
        <w:left w:val="none" w:sz="0" w:space="0" w:color="auto"/>
        <w:bottom w:val="none" w:sz="0" w:space="0" w:color="auto"/>
        <w:right w:val="none" w:sz="0" w:space="0" w:color="auto"/>
      </w:divBdr>
    </w:div>
    <w:div w:id="189970854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82628-853F-2B44-8E7A-4BC77FAC8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1074</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dc:creator>
  <cp:keywords/>
  <dc:description/>
  <cp:lastModifiedBy>David Edmonson</cp:lastModifiedBy>
  <cp:revision>2</cp:revision>
  <cp:lastPrinted>2020-01-30T23:41:00Z</cp:lastPrinted>
  <dcterms:created xsi:type="dcterms:W3CDTF">2020-01-31T14:59:00Z</dcterms:created>
  <dcterms:modified xsi:type="dcterms:W3CDTF">2020-01-31T14:59:00Z</dcterms:modified>
</cp:coreProperties>
</file>